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56" w:after="156"/>
        <w:ind w:firstLine="723"/>
        <w:jc w:val="left"/>
      </w:pPr>
      <w:r>
        <w:rPr>
          <w:rFonts w:hint="eastAsia"/>
        </w:rPr>
        <w:t>TW-</w:t>
      </w:r>
      <w:r>
        <w:rPr>
          <w:rFonts w:hint="eastAsia"/>
          <w:lang w:val="en-US" w:eastAsia="zh-CN"/>
        </w:rPr>
        <w:t>SLS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00</w:t>
      </w:r>
      <w:r>
        <w:rPr>
          <w:rFonts w:hint="eastAsia"/>
        </w:rPr>
        <w:t>产品</w:t>
      </w:r>
      <w:r>
        <w:t>使用说明</w:t>
      </w:r>
    </w:p>
    <w:p>
      <w:pPr>
        <w:pStyle w:val="2"/>
        <w:spacing w:before="156" w:after="156"/>
        <w:ind w:firstLine="723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67735" cy="2718435"/>
            <wp:effectExtent l="0" t="0" r="0" b="5080"/>
            <wp:docPr id="1" name="图片 1" descr="untitled.3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untitled.3771"/>
                    <pic:cNvPicPr>
                      <a:picLocks noChangeAspect="1"/>
                    </pic:cNvPicPr>
                  </pic:nvPicPr>
                  <pic:blipFill>
                    <a:blip r:embed="rId9"/>
                    <a:srcRect l="10231" r="5115"/>
                    <a:stretch>
                      <a:fillRect/>
                    </a:stretch>
                  </pic:blipFill>
                  <pic:spPr>
                    <a:xfrm>
                      <a:off x="0" y="0"/>
                      <a:ext cx="3467735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感谢您选用</w:t>
      </w:r>
      <w:r>
        <w:rPr>
          <w:rFonts w:hint="eastAsia"/>
          <w:lang w:val="en-US" w:eastAsia="zh-CN"/>
        </w:rPr>
        <w:t>TW-SLS100土壤监测站</w:t>
      </w:r>
      <w:r>
        <w:t>！</w:t>
      </w:r>
    </w:p>
    <w:p>
      <w:r>
        <w:rPr>
          <w:rFonts w:hint="eastAsia"/>
          <w:lang w:val="en-US" w:eastAsia="zh-CN"/>
        </w:rPr>
        <w:t>TW-SLS100土壤监测站</w:t>
      </w:r>
      <w:r>
        <w:t>是广州</w:t>
      </w:r>
      <w:r>
        <w:rPr>
          <w:rFonts w:hint="eastAsia"/>
          <w:lang w:val="en-US" w:eastAsia="zh-CN"/>
        </w:rPr>
        <w:t>通微</w:t>
      </w:r>
      <w:r>
        <w:t>科技有限公司针对当前智能物联网环境监控</w:t>
      </w:r>
      <w:r>
        <w:rPr>
          <w:rFonts w:hint="eastAsia"/>
        </w:rPr>
        <w:t>推出的系列主机产品，该系列主机性能稳定、功能强大、可靠性高、</w:t>
      </w:r>
      <w:r>
        <w:rPr>
          <w:rFonts w:hint="eastAsia"/>
          <w:lang w:val="en-US" w:eastAsia="zh-CN"/>
        </w:rPr>
        <w:t>施工方便、独立联网，</w:t>
      </w:r>
      <w:r>
        <w:rPr>
          <w:rFonts w:hint="eastAsia"/>
        </w:rPr>
        <w:t>可</w:t>
      </w:r>
      <w:r>
        <w:rPr>
          <w:rFonts w:hint="eastAsia"/>
          <w:lang w:val="en-US" w:eastAsia="zh-CN"/>
        </w:rPr>
        <w:t>广泛应用于农场、大棚、大田、种植基地等场所</w:t>
      </w:r>
      <w:r>
        <w:rPr>
          <w:rFonts w:hint="eastAsia"/>
        </w:rPr>
        <w:t>，深受用户的好评。</w:t>
      </w:r>
    </w:p>
    <w:p>
      <w:pPr>
        <w:pStyle w:val="2"/>
        <w:spacing w:before="156" w:after="156"/>
        <w:ind w:left="0" w:leftChars="0" w:firstLine="361" w:firstLineChars="100"/>
        <w:jc w:val="left"/>
      </w:pPr>
      <w:r>
        <w:br w:type="column"/>
      </w:r>
      <w:r>
        <w:rPr>
          <w:rFonts w:hint="eastAsia"/>
        </w:rPr>
        <w:t>设备参数说明</w:t>
      </w:r>
    </w:p>
    <w:tbl>
      <w:tblPr>
        <w:tblStyle w:val="9"/>
        <w:tblW w:w="6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51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811" w:type="dxa"/>
            <w:shd w:val="clear" w:color="auto" w:fill="5B9BD5" w:themeFill="accent1"/>
          </w:tcPr>
          <w:p>
            <w:pPr>
              <w:spacing w:before="156" w:after="156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产品型号</w:t>
            </w:r>
          </w:p>
        </w:tc>
        <w:tc>
          <w:tcPr>
            <w:tcW w:w="5149" w:type="dxa"/>
            <w:shd w:val="clear" w:color="auto" w:fill="5B9BD5" w:themeFill="accent1"/>
          </w:tcPr>
          <w:p>
            <w:pPr>
              <w:spacing w:before="156" w:after="156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</w:trPr>
        <w:tc>
          <w:tcPr>
            <w:tcW w:w="1811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设备监测要素</w:t>
            </w:r>
          </w:p>
        </w:tc>
        <w:tc>
          <w:tcPr>
            <w:tcW w:w="5149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土温、水分、盐分（土壤肥性）、</w:t>
            </w:r>
            <w:r>
              <w:rPr>
                <w:rFonts w:hint="eastAsia"/>
                <w:lang w:val="en-US" w:eastAsia="zh-CN"/>
              </w:rPr>
              <w:t>电导、</w:t>
            </w:r>
            <w:r>
              <w:rPr>
                <w:rFonts w:hint="eastAsia"/>
              </w:rPr>
              <w:t>ph值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</w:trPr>
        <w:tc>
          <w:tcPr>
            <w:tcW w:w="1811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t>设备工作电压</w:t>
            </w:r>
          </w:p>
        </w:tc>
        <w:tc>
          <w:tcPr>
            <w:tcW w:w="5149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DC</w:t>
            </w:r>
            <w:r>
              <w:rPr>
                <w:rFonts w:hint="eastAsia"/>
                <w:lang w:val="en-US" w:eastAsia="zh-CN"/>
              </w:rPr>
              <w:t>12</w:t>
            </w:r>
            <w:r>
              <w:rPr>
                <w:rFonts w:hint="eastAsia"/>
              </w:rPr>
              <w:t>V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可选配太阳能供电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</w:trPr>
        <w:tc>
          <w:tcPr>
            <w:tcW w:w="1811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信号传输方式</w:t>
            </w:r>
          </w:p>
        </w:tc>
        <w:tc>
          <w:tcPr>
            <w:tcW w:w="5149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NB-IOT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exact"/>
        </w:trPr>
        <w:tc>
          <w:tcPr>
            <w:tcW w:w="1811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土壤温度测量范围</w:t>
            </w:r>
          </w:p>
        </w:tc>
        <w:tc>
          <w:tcPr>
            <w:tcW w:w="5149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30</w:t>
            </w:r>
            <w:r>
              <w:rPr>
                <w:rFonts w:hint="eastAsia"/>
              </w:rPr>
              <w:t>~</w:t>
            </w:r>
            <w:r>
              <w:rPr>
                <w:rFonts w:hint="eastAsia"/>
                <w:lang w:val="en-US" w:eastAsia="zh-CN"/>
              </w:rPr>
              <w:t>70</w:t>
            </w:r>
            <w:r>
              <w:rPr>
                <w:rFonts w:hint="eastAsia"/>
              </w:rPr>
              <w:t>℃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精度：</w:t>
            </w:r>
            <w:r>
              <w:rPr>
                <w:rFonts w:hint="eastAsia"/>
              </w:rPr>
              <w:t>±0.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</w:trPr>
        <w:tc>
          <w:tcPr>
            <w:tcW w:w="1811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土壤水分</w:t>
            </w:r>
            <w:r>
              <w:rPr>
                <w:rFonts w:hint="eastAsia"/>
              </w:rPr>
              <w:t>测量范围</w:t>
            </w:r>
          </w:p>
        </w:tc>
        <w:tc>
          <w:tcPr>
            <w:tcW w:w="5149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0~100</w:t>
            </w:r>
            <w:r>
              <w:rPr>
                <w:rFonts w:hint="eastAsia"/>
                <w:lang w:val="en-US" w:eastAsia="zh-CN"/>
              </w:rPr>
              <w:t>% ，</w:t>
            </w:r>
            <w:r>
              <w:rPr>
                <w:rFonts w:hint="eastAsia"/>
              </w:rPr>
              <w:t>精度：±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</w:trPr>
        <w:tc>
          <w:tcPr>
            <w:tcW w:w="1811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电导率</w:t>
            </w:r>
            <w:r>
              <w:rPr>
                <w:rFonts w:hint="eastAsia"/>
              </w:rPr>
              <w:t>测量范围</w:t>
            </w:r>
          </w:p>
        </w:tc>
        <w:tc>
          <w:tcPr>
            <w:tcW w:w="5149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0~</w:t>
            </w:r>
            <w:r>
              <w:rPr>
                <w:rFonts w:hint="eastAsia"/>
                <w:lang w:val="en-US" w:eastAsia="zh-CN"/>
              </w:rPr>
              <w:t>5000u</w:t>
            </w:r>
            <w:r>
              <w:rPr>
                <w:rFonts w:hint="eastAsia"/>
              </w:rPr>
              <w:t>S/cm，精度:±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%</w:t>
            </w:r>
            <w:r>
              <w:rPr>
                <w:rFonts w:hint="eastAsia"/>
                <w:lang w:val="en-US" w:eastAsia="zh-CN"/>
              </w:rPr>
              <w:t>(0-3000)，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%</w:t>
            </w:r>
            <w:r>
              <w:rPr>
                <w:rFonts w:hint="eastAsia"/>
                <w:lang w:val="en-US" w:eastAsia="zh-CN"/>
              </w:rPr>
              <w:t>(3000-5000)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1811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盐分测量范围</w:t>
            </w:r>
          </w:p>
        </w:tc>
        <w:tc>
          <w:tcPr>
            <w:tcW w:w="5149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  <w:r>
              <w:rPr>
                <w:rFonts w:hint="eastAsia"/>
              </w:rPr>
              <w:t>~</w:t>
            </w:r>
            <w:r>
              <w:rPr>
                <w:rFonts w:hint="eastAsia"/>
                <w:lang w:val="en-US" w:eastAsia="zh-CN"/>
              </w:rPr>
              <w:t>3000mg/L，精度：±3%(0-2000)，±5%(2000-3000)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1811" w:type="dxa"/>
            <w:vAlign w:val="top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PH</w:t>
            </w:r>
            <w:r>
              <w:rPr>
                <w:rFonts w:hint="eastAsia"/>
              </w:rPr>
              <w:t>测量范围</w:t>
            </w:r>
          </w:p>
        </w:tc>
        <w:tc>
          <w:tcPr>
            <w:tcW w:w="5149" w:type="dxa"/>
            <w:vAlign w:val="top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0-14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精度：±0.2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1811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设备工作温度</w:t>
            </w:r>
          </w:p>
        </w:tc>
        <w:tc>
          <w:tcPr>
            <w:tcW w:w="5149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-10</w:t>
            </w:r>
            <w:r>
              <w:rPr>
                <w:rFonts w:hint="eastAsia"/>
                <w:lang w:val="en-US" w:eastAsia="zh-CN"/>
              </w:rPr>
              <w:t>-</w:t>
            </w:r>
            <w:r>
              <w:rPr>
                <w:rFonts w:hint="eastAsia"/>
              </w:rPr>
              <w:t>50℃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</w:trPr>
        <w:tc>
          <w:tcPr>
            <w:tcW w:w="1811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设备工作湿度</w:t>
            </w:r>
          </w:p>
        </w:tc>
        <w:tc>
          <w:tcPr>
            <w:tcW w:w="5149" w:type="dxa"/>
          </w:tcPr>
          <w:p>
            <w:pPr>
              <w:spacing w:before="156" w:after="156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5%至90％（无冷凝）</w:t>
            </w:r>
          </w:p>
        </w:tc>
      </w:tr>
    </w:tbl>
    <w:p>
      <w:pPr>
        <w:pStyle w:val="2"/>
        <w:bidi w:val="0"/>
        <w:ind w:left="0" w:leftChars="0" w:firstLine="723" w:firstLineChars="200"/>
      </w:pPr>
      <w:r>
        <w:rPr>
          <w:rStyle w:val="13"/>
          <w:rFonts w:hint="eastAsia"/>
          <w:b/>
          <w:bCs/>
        </w:rPr>
        <w:t>设备使用说明</w:t>
      </w:r>
    </w:p>
    <w:p>
      <w:pPr>
        <w:spacing w:before="156" w:after="156"/>
        <w:ind w:firstLine="420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</w:rPr>
        <w:t>①</w:t>
      </w:r>
      <w:r>
        <w:rPr>
          <w:rFonts w:hint="eastAsia" w:eastAsia="宋体"/>
          <w:lang w:val="en-US" w:eastAsia="zh-CN"/>
        </w:rPr>
        <w:t>设备安装后，在土壤监测站控制盒的底部，按下 Power Button键，启动设备，设备启动后正常状态下约1-2分钟左右自动连接到服务器，设备连接服务器成功时，RUN指示灯以1S的时间间隔闪烁</w:t>
      </w:r>
    </w:p>
    <w:p>
      <w:pPr>
        <w:spacing w:before="156" w:after="156"/>
        <w:ind w:firstLine="420"/>
        <w:rPr>
          <w:rFonts w:hint="eastAsia"/>
        </w:rPr>
      </w:pPr>
      <w:r>
        <w:rPr>
          <w:rFonts w:hint="eastAsia" w:ascii="宋体" w:hAnsi="宋体" w:eastAsia="宋体" w:cs="宋体"/>
        </w:rPr>
        <w:t>②</w:t>
      </w:r>
      <w:r>
        <w:t>应用市场搜索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通微农云</w:t>
      </w:r>
      <w:r>
        <w:rPr>
          <w:rFonts w:hint="eastAsia"/>
        </w:rPr>
        <w:t>”app，下载</w:t>
      </w:r>
      <w:r>
        <w:rPr>
          <w:rFonts w:hint="eastAsia"/>
          <w:lang w:val="en-US" w:eastAsia="zh-CN"/>
        </w:rPr>
        <w:t>通微农云</w:t>
      </w:r>
      <w:r>
        <w:rPr>
          <w:rFonts w:hint="eastAsia"/>
        </w:rPr>
        <w:t>安卓</w:t>
      </w:r>
      <w:r>
        <w:rPr>
          <w:rFonts w:hint="eastAsia"/>
          <w:lang w:val="en-US" w:eastAsia="zh-CN"/>
        </w:rPr>
        <w:t>/iOS</w:t>
      </w:r>
      <w:r>
        <w:rPr>
          <w:rFonts w:hint="eastAsia"/>
        </w:rPr>
        <w:t>客户端</w:t>
      </w:r>
    </w:p>
    <w:p>
      <w:pPr>
        <w:spacing w:before="156" w:after="156"/>
        <w:ind w:firstLine="420"/>
        <w:rPr>
          <w:rFonts w:hint="eastAsia"/>
        </w:rPr>
      </w:pPr>
      <w:r>
        <w:rPr>
          <w:rFonts w:hint="eastAsia" w:ascii="宋体" w:hAnsi="宋体" w:eastAsia="宋体" w:cs="宋体"/>
        </w:rPr>
        <w:t>③</w:t>
      </w:r>
      <w:r>
        <w:rPr>
          <w:rFonts w:hint="eastAsia"/>
        </w:rPr>
        <w:t>打开app后，</w:t>
      </w:r>
      <w:r>
        <w:rPr>
          <w:rFonts w:hint="eastAsia"/>
          <w:lang w:val="en-US" w:eastAsia="zh-CN"/>
        </w:rPr>
        <w:t>点击左上角的扫码图标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扫码</w:t>
      </w:r>
      <w:r>
        <w:rPr>
          <w:rFonts w:hint="eastAsia"/>
        </w:rPr>
        <w:t>添加设备上贴的二维码，即可添加设备进行查看。</w:t>
      </w:r>
    </w:p>
    <w:p>
      <w:pPr>
        <w:spacing w:before="156" w:after="156"/>
        <w:ind w:firstLine="420"/>
        <w:rPr>
          <w:rFonts w:hint="eastAsia"/>
        </w:rPr>
      </w:pPr>
      <w:r>
        <w:t>如</w:t>
      </w:r>
      <w:r>
        <w:rPr>
          <w:rFonts w:hint="eastAsia"/>
        </w:rPr>
        <w:t>设备</w:t>
      </w:r>
      <w:r>
        <w:t>使用过程中遇到问题或需要了解更多产品的性能</w:t>
      </w:r>
      <w:r>
        <w:rPr>
          <w:rFonts w:hint="eastAsia"/>
        </w:rPr>
        <w:t>，</w:t>
      </w:r>
      <w:r>
        <w:t>请拨打</w:t>
      </w:r>
      <w:r>
        <w:rPr>
          <w:rFonts w:hint="eastAsia"/>
        </w:rPr>
        <w:t>400</w:t>
      </w:r>
      <w:r>
        <w:t>—803—3606获得技术支持</w:t>
      </w:r>
      <w:r>
        <w:rPr>
          <w:rFonts w:hint="eastAsia"/>
        </w:rPr>
        <w:t xml:space="preserve">。 </w:t>
      </w:r>
    </w:p>
    <w:p>
      <w:pPr>
        <w:pStyle w:val="2"/>
        <w:bidi w:val="0"/>
        <w:rPr>
          <w:rStyle w:val="13"/>
          <w:rFonts w:hint="default" w:asciiTheme="minorAscii" w:hAnsiTheme="minorAscii" w:cstheme="minorBidi"/>
          <w:b/>
          <w:bCs/>
          <w:lang w:val="en-US" w:eastAsia="zh-CN" w:bidi="ar-SA"/>
        </w:rPr>
      </w:pPr>
      <w:r>
        <w:rPr>
          <w:rStyle w:val="13"/>
          <w:rFonts w:hint="eastAsia" w:asciiTheme="minorAscii" w:hAnsiTheme="minorAscii" w:cstheme="minorBidi"/>
          <w:b/>
          <w:bCs/>
          <w:lang w:val="en-US" w:eastAsia="zh-CN" w:bidi="ar-SA"/>
        </w:rPr>
        <w:t>设备注意事项</w:t>
      </w:r>
    </w:p>
    <w:p>
      <w:pPr>
        <w:numPr>
          <w:ilvl w:val="0"/>
          <w:numId w:val="0"/>
        </w:numPr>
        <w:spacing w:before="156" w:after="156"/>
        <w:ind w:left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1、Power Button：设备开关键，控制设备的开启/关闭。</w:t>
      </w:r>
    </w:p>
    <w:p>
      <w:pPr>
        <w:numPr>
          <w:ilvl w:val="0"/>
          <w:numId w:val="0"/>
        </w:numPr>
        <w:spacing w:before="156" w:after="156"/>
        <w:ind w:left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2、POWER :电源指示灯，第一次上电时长亮约1分钟。</w:t>
      </w:r>
    </w:p>
    <w:p>
      <w:pPr>
        <w:numPr>
          <w:ilvl w:val="0"/>
          <w:numId w:val="0"/>
        </w:numPr>
        <w:spacing w:before="156" w:after="156"/>
        <w:ind w:left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3、RUN：运行指示灯，在设备未连接服务器时快速闪烁，若设备连接服务器成功，以1s左右的时间间隔闪烁，休眠状态下指示灯不闪烁（设备休眠时间间隔10分钟）。</w:t>
      </w:r>
    </w:p>
    <w:p>
      <w:pPr>
        <w:numPr>
          <w:ilvl w:val="0"/>
          <w:numId w:val="0"/>
        </w:numPr>
        <w:spacing w:before="156" w:after="156"/>
        <w:ind w:left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4、CH :充电指示灯，灯亮表示设备正在充电</w:t>
      </w:r>
    </w:p>
    <w:p>
      <w:pPr>
        <w:numPr>
          <w:ilvl w:val="0"/>
          <w:numId w:val="0"/>
        </w:numPr>
        <w:spacing w:before="156" w:after="156"/>
        <w:ind w:left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5、APP上提示电池电量低后，设备可能因电量不足进入长休眠状态，请尽快将产品移至有阳光照射的地方通过设备自带的太阳能板充电。</w:t>
      </w:r>
    </w:p>
    <w:p>
      <w:pPr>
        <w:numPr>
          <w:ilvl w:val="0"/>
          <w:numId w:val="0"/>
        </w:numPr>
        <w:spacing w:before="156" w:after="156"/>
        <w:ind w:left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6、设备内置大容量后备电池，电池容量3600mA，电池电压3.7V，无阳光照射时，大约可以工作15天左右。</w:t>
      </w:r>
    </w:p>
    <w:p>
      <w:pPr>
        <w:numPr>
          <w:ilvl w:val="0"/>
          <w:numId w:val="0"/>
        </w:numPr>
        <w:spacing w:before="156" w:after="156"/>
        <w:ind w:leftChars="100" w:firstLine="361" w:firstLineChars="100"/>
      </w:pPr>
      <w:r>
        <w:rPr>
          <w:rStyle w:val="11"/>
          <w:rFonts w:hint="eastAsia"/>
          <w:sz w:val="36"/>
          <w:szCs w:val="36"/>
        </w:rPr>
        <w:t>保修服务政策</w:t>
      </w:r>
    </w:p>
    <w:p>
      <w:pPr>
        <w:spacing w:before="156" w:after="156"/>
        <w:ind w:firstLine="420"/>
      </w:pPr>
      <w:r>
        <w:t>消费者通过合法渠道购买的</w:t>
      </w:r>
      <w:r>
        <w:rPr>
          <w:rFonts w:hint="eastAsia"/>
          <w:lang w:val="en-US" w:eastAsia="zh-CN"/>
        </w:rPr>
        <w:t>通微物联</w:t>
      </w:r>
      <w:r>
        <w:t>产品</w:t>
      </w:r>
      <w:r>
        <w:rPr>
          <w:rFonts w:hint="eastAsia"/>
        </w:rPr>
        <w:t>，</w:t>
      </w:r>
      <w:r>
        <w:t>如果出现非人为损坏的性能故障</w:t>
      </w:r>
      <w:r>
        <w:rPr>
          <w:rFonts w:hint="eastAsia"/>
        </w:rPr>
        <w:t>，</w:t>
      </w:r>
      <w:r>
        <w:t>享有广州</w:t>
      </w:r>
      <w:r>
        <w:rPr>
          <w:rFonts w:hint="eastAsia"/>
          <w:lang w:val="en-US" w:eastAsia="zh-CN"/>
        </w:rPr>
        <w:t>通微物联</w:t>
      </w:r>
      <w:r>
        <w:t>科技有限公司</w:t>
      </w:r>
      <w:r>
        <w:rPr>
          <w:rFonts w:hint="eastAsia"/>
        </w:rPr>
        <w:t>“包修、包退、包换”（简称“三包”）的服务承诺。</w:t>
      </w:r>
    </w:p>
    <w:p>
      <w:pPr>
        <w:spacing w:before="156" w:after="156"/>
        <w:ind w:firstLine="420"/>
      </w:pPr>
      <w:r>
        <w:t>除特别说明外</w:t>
      </w:r>
      <w:r>
        <w:rPr>
          <w:rFonts w:hint="eastAsia"/>
        </w:rPr>
        <w:t>，</w:t>
      </w:r>
      <w:r>
        <w:t>保修范围包括全部原厂配置的硬件部件</w:t>
      </w:r>
      <w:r>
        <w:rPr>
          <w:rFonts w:hint="eastAsia"/>
        </w:rPr>
        <w:t>，保修时间为购买之日起1年。</w:t>
      </w:r>
    </w:p>
    <w:p>
      <w:pPr>
        <w:spacing w:before="156" w:after="156"/>
        <w:ind w:firstLine="422"/>
        <w:rPr>
          <w:b/>
        </w:rPr>
      </w:pPr>
      <w:r>
        <w:rPr>
          <w:rFonts w:hint="eastAsia"/>
          <w:b/>
        </w:rPr>
        <w:t>符合下列情况之一者，不在保修范围内，广州</w:t>
      </w:r>
      <w:r>
        <w:rPr>
          <w:rFonts w:hint="eastAsia"/>
          <w:b/>
          <w:lang w:val="en-US" w:eastAsia="zh-CN"/>
        </w:rPr>
        <w:t>通微物联</w:t>
      </w:r>
      <w:r>
        <w:rPr>
          <w:rFonts w:hint="eastAsia"/>
          <w:b/>
        </w:rPr>
        <w:t>科技有限公司将实行合理的收费维修</w:t>
      </w:r>
    </w:p>
    <w:p>
      <w:pPr>
        <w:spacing w:before="156" w:after="156"/>
        <w:ind w:firstLine="422"/>
        <w:rPr>
          <w:b/>
        </w:rPr>
      </w:pPr>
      <w:r>
        <w:rPr>
          <w:b/>
        </w:rPr>
        <w:sym w:font="Wingdings 2" w:char="F097"/>
      </w:r>
      <w:r>
        <w:t>超出三包有效期</w:t>
      </w:r>
      <w:r>
        <w:rPr>
          <w:rFonts w:hint="eastAsia"/>
        </w:rPr>
        <w:t>；</w:t>
      </w:r>
    </w:p>
    <w:p>
      <w:pPr>
        <w:spacing w:before="156" w:after="156"/>
        <w:ind w:firstLine="420"/>
      </w:pPr>
      <w:r>
        <w:rPr>
          <w:rFonts w:hint="eastAsia"/>
        </w:rPr>
        <w:sym w:font="Wingdings 2" w:char="F097"/>
      </w:r>
      <w:r>
        <w:rPr>
          <w:rFonts w:hint="eastAsia"/>
        </w:rPr>
        <w:t>未按照说明书要求使用、维护、保养而造成的损坏；</w:t>
      </w:r>
    </w:p>
    <w:p>
      <w:pPr>
        <w:spacing w:before="156" w:after="156"/>
        <w:ind w:firstLine="420"/>
      </w:pPr>
      <w:r>
        <w:rPr/>
        <w:sym w:font="Wingdings 2" w:char="F097"/>
      </w:r>
      <w:r>
        <w:t>未经广州</w:t>
      </w:r>
      <w:r>
        <w:rPr>
          <w:rFonts w:hint="eastAsia"/>
          <w:lang w:val="en-US" w:eastAsia="zh-CN"/>
        </w:rPr>
        <w:t>通微物联</w:t>
      </w:r>
      <w:r>
        <w:t>科技授权</w:t>
      </w:r>
      <w:r>
        <w:rPr>
          <w:rFonts w:hint="eastAsia"/>
        </w:rPr>
        <w:t>，</w:t>
      </w:r>
      <w:r>
        <w:t>擅自拆卸或维修造成损坏</w:t>
      </w:r>
      <w:r>
        <w:rPr>
          <w:rFonts w:hint="eastAsia"/>
        </w:rPr>
        <w:t>；</w:t>
      </w:r>
    </w:p>
    <w:p>
      <w:pPr>
        <w:spacing w:before="156" w:after="156"/>
        <w:ind w:firstLine="420"/>
      </w:pPr>
      <w:r>
        <w:rPr/>
        <w:sym w:font="Wingdings 2" w:char="F097"/>
      </w:r>
      <w:r>
        <w:t>浸水</w:t>
      </w:r>
      <w:r>
        <w:rPr>
          <w:rFonts w:hint="eastAsia"/>
        </w:rPr>
        <w:t>、</w:t>
      </w:r>
      <w:r>
        <w:t>摔坏或印刷电路板烧毁</w:t>
      </w:r>
      <w:r>
        <w:rPr>
          <w:rFonts w:hint="eastAsia"/>
        </w:rPr>
        <w:t>；</w:t>
      </w:r>
    </w:p>
    <w:p>
      <w:pPr>
        <w:spacing w:before="156" w:after="156"/>
        <w:ind w:firstLine="420"/>
      </w:pPr>
      <w:r>
        <w:rPr/>
        <w:sym w:font="Wingdings 2" w:char="F097"/>
      </w:r>
      <w:r>
        <w:t>接线错误造成的设备损坏</w:t>
      </w:r>
      <w:r>
        <w:rPr>
          <w:rFonts w:hint="eastAsia"/>
        </w:rPr>
        <w:t>；</w:t>
      </w:r>
    </w:p>
    <w:p>
      <w:pPr>
        <w:spacing w:before="156" w:after="156"/>
        <w:ind w:firstLine="420"/>
      </w:pPr>
      <w:r>
        <w:rPr/>
        <w:sym w:font="Wingdings 2" w:char="F097"/>
      </w:r>
      <w:r>
        <w:t>保修凭证与实际产品不符或保修凭证被涂改</w:t>
      </w:r>
      <w:r>
        <w:rPr>
          <w:rFonts w:hint="eastAsia"/>
        </w:rPr>
        <w:t>；</w:t>
      </w:r>
    </w:p>
    <w:p>
      <w:pPr>
        <w:spacing w:before="156" w:after="156"/>
        <w:ind w:firstLine="420"/>
      </w:pPr>
      <w:r>
        <w:t>因产品不符合保修条件需收取费用的</w:t>
      </w:r>
      <w:r>
        <w:rPr>
          <w:rFonts w:hint="eastAsia"/>
        </w:rPr>
        <w:t>，广州</w:t>
      </w:r>
      <w:r>
        <w:rPr>
          <w:rFonts w:hint="eastAsia"/>
          <w:lang w:val="en-US" w:eastAsia="zh-CN"/>
        </w:rPr>
        <w:t>通微物联</w:t>
      </w:r>
      <w:r>
        <w:rPr>
          <w:rFonts w:hint="eastAsia"/>
        </w:rPr>
        <w:t>科技有限公司将向消费者收取维修费，并在维修记录或收据上注明不符合保修条件的原因。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6839" w:h="11907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1054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120" w:after="120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before="120" w:after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3D0"/>
    <w:rsid w:val="00027AF8"/>
    <w:rsid w:val="00044032"/>
    <w:rsid w:val="00072013"/>
    <w:rsid w:val="00072CA6"/>
    <w:rsid w:val="00090D77"/>
    <w:rsid w:val="000C537A"/>
    <w:rsid w:val="00112CCA"/>
    <w:rsid w:val="00161CA5"/>
    <w:rsid w:val="00175DC8"/>
    <w:rsid w:val="00193AAC"/>
    <w:rsid w:val="001B7FBA"/>
    <w:rsid w:val="002C41F7"/>
    <w:rsid w:val="00300D7C"/>
    <w:rsid w:val="0032569C"/>
    <w:rsid w:val="003334DD"/>
    <w:rsid w:val="00347558"/>
    <w:rsid w:val="003B6FE5"/>
    <w:rsid w:val="003E7E7F"/>
    <w:rsid w:val="004D06C3"/>
    <w:rsid w:val="005702B4"/>
    <w:rsid w:val="00590415"/>
    <w:rsid w:val="005C0E9B"/>
    <w:rsid w:val="00624972"/>
    <w:rsid w:val="00700350"/>
    <w:rsid w:val="007075E6"/>
    <w:rsid w:val="0075259D"/>
    <w:rsid w:val="007922D1"/>
    <w:rsid w:val="007C4B25"/>
    <w:rsid w:val="00804A77"/>
    <w:rsid w:val="00806340"/>
    <w:rsid w:val="00885853"/>
    <w:rsid w:val="009303D6"/>
    <w:rsid w:val="009743D0"/>
    <w:rsid w:val="009F71EC"/>
    <w:rsid w:val="00B82A23"/>
    <w:rsid w:val="00BB55EE"/>
    <w:rsid w:val="00C506BA"/>
    <w:rsid w:val="00C87098"/>
    <w:rsid w:val="00D31D2A"/>
    <w:rsid w:val="00D7195D"/>
    <w:rsid w:val="00E07FC5"/>
    <w:rsid w:val="00E25FB0"/>
    <w:rsid w:val="00E57AFC"/>
    <w:rsid w:val="00E91E93"/>
    <w:rsid w:val="00EC545D"/>
    <w:rsid w:val="00EC66E7"/>
    <w:rsid w:val="00EF3257"/>
    <w:rsid w:val="01B84220"/>
    <w:rsid w:val="0E250496"/>
    <w:rsid w:val="12371EC0"/>
    <w:rsid w:val="12BA7C6B"/>
    <w:rsid w:val="13C139DB"/>
    <w:rsid w:val="15EA4C7D"/>
    <w:rsid w:val="167E12B2"/>
    <w:rsid w:val="173D2F2F"/>
    <w:rsid w:val="1BFF61F8"/>
    <w:rsid w:val="1F4F0580"/>
    <w:rsid w:val="2170151B"/>
    <w:rsid w:val="24AA19B3"/>
    <w:rsid w:val="276322BD"/>
    <w:rsid w:val="29D926D4"/>
    <w:rsid w:val="2FCE2EC5"/>
    <w:rsid w:val="30857D37"/>
    <w:rsid w:val="32BC53EF"/>
    <w:rsid w:val="3AE82CA3"/>
    <w:rsid w:val="3F484AF1"/>
    <w:rsid w:val="476433F4"/>
    <w:rsid w:val="4C836AE5"/>
    <w:rsid w:val="4D990A6F"/>
    <w:rsid w:val="4EDD01B3"/>
    <w:rsid w:val="514007E6"/>
    <w:rsid w:val="5A041204"/>
    <w:rsid w:val="5C0F2D3D"/>
    <w:rsid w:val="626077D3"/>
    <w:rsid w:val="67792AE2"/>
    <w:rsid w:val="74A930DE"/>
    <w:rsid w:val="7BF4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220" w:after="210" w:line="240" w:lineRule="atLeast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pPr>
      <w:spacing w:before="0" w:after="0"/>
    </w:pPr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1">
    <w:name w:val="标题 2 Char"/>
    <w:basedOn w:val="10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12">
    <w:name w:val="Placeholder Text"/>
    <w:basedOn w:val="10"/>
    <w:semiHidden/>
    <w:qFormat/>
    <w:uiPriority w:val="99"/>
    <w:rPr>
      <w:color w:val="808080"/>
    </w:rPr>
  </w:style>
  <w:style w:type="character" w:customStyle="1" w:styleId="13">
    <w:name w:val="标题 1 Char"/>
    <w:basedOn w:val="10"/>
    <w:link w:val="2"/>
    <w:qFormat/>
    <w:uiPriority w:val="9"/>
    <w:rPr>
      <w:rFonts w:eastAsiaTheme="minorEastAsia"/>
      <w:b/>
      <w:bCs/>
      <w:kern w:val="44"/>
      <w:sz w:val="36"/>
      <w:szCs w:val="44"/>
    </w:rPr>
  </w:style>
  <w:style w:type="character" w:customStyle="1" w:styleId="14">
    <w:name w:val="标题 3 Char"/>
    <w:basedOn w:val="10"/>
    <w:link w:val="4"/>
    <w:qFormat/>
    <w:uiPriority w:val="9"/>
    <w:rPr>
      <w:b/>
      <w:bCs/>
      <w:sz w:val="32"/>
      <w:szCs w:val="32"/>
    </w:rPr>
  </w:style>
  <w:style w:type="character" w:customStyle="1" w:styleId="15">
    <w:name w:val="批注框文本 Char"/>
    <w:basedOn w:val="10"/>
    <w:link w:val="5"/>
    <w:semiHidden/>
    <w:qFormat/>
    <w:uiPriority w:val="99"/>
    <w:rPr>
      <w:sz w:val="18"/>
      <w:szCs w:val="18"/>
    </w:rPr>
  </w:style>
  <w:style w:type="character" w:customStyle="1" w:styleId="16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0"/>
    <w:link w:val="6"/>
    <w:qFormat/>
    <w:uiPriority w:val="99"/>
    <w:rPr>
      <w:sz w:val="18"/>
      <w:szCs w:val="18"/>
    </w:rPr>
  </w:style>
  <w:style w:type="paragraph" w:styleId="18">
    <w:name w:val="No Spacing"/>
    <w:qFormat/>
    <w:uiPriority w:val="1"/>
    <w:pPr>
      <w:widowControl w:val="0"/>
      <w:spacing w:beforeLines="50" w:afterLines="5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9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1004</Characters>
  <Lines>8</Lines>
  <Paragraphs>2</Paragraphs>
  <TotalTime>3</TotalTime>
  <ScaleCrop>false</ScaleCrop>
  <LinksUpToDate>false</LinksUpToDate>
  <CharactersWithSpaces>1177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2018-10-23T07:32:00Z</dcterms:created>
  <dc:creator>Windows User</dc:creator>
  <cp:lastModifiedBy>云剑</cp:lastModifiedBy>
  <cp:lastPrinted>2019-07-05T06:36:00Z</cp:lastPrinted>
  <dcterms:modified xsi:type="dcterms:W3CDTF">2019-07-09T03:24:40Z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