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emf" ContentType="image/x-emf"/>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C3F8077">
      <w:pPr>
        <w:spacing w:line="360" w:lineRule="auto"/>
        <w:rPr>
          <w:rFonts w:hint="eastAsia" w:ascii="微软雅黑 Light" w:hAnsi="微软雅黑 Light" w:eastAsia="微软雅黑 Light" w:cs="微软雅黑 Light"/>
          <w:color w:val="FF0000"/>
          <w:sz w:val="21"/>
          <w:szCs w:val="21"/>
        </w:rPr>
      </w:pPr>
    </w:p>
    <w:p w14:paraId="3F944BEC">
      <w:pPr>
        <w:spacing w:line="360" w:lineRule="auto"/>
        <w:rPr>
          <w:rFonts w:hint="eastAsia" w:ascii="微软雅黑 Light" w:hAnsi="微软雅黑 Light" w:eastAsia="微软雅黑 Light" w:cs="微软雅黑 Light"/>
          <w:color w:val="FF0000"/>
          <w:sz w:val="21"/>
          <w:szCs w:val="21"/>
        </w:rPr>
      </w:pPr>
    </w:p>
    <w:p w14:paraId="2F58E1EF">
      <w:pPr>
        <w:spacing w:line="360" w:lineRule="auto"/>
        <w:rPr>
          <w:rFonts w:hint="eastAsia" w:ascii="微软雅黑 Light" w:hAnsi="微软雅黑 Light" w:eastAsia="微软雅黑 Light" w:cs="微软雅黑 Light"/>
          <w:b/>
          <w:bCs/>
          <w:color w:val="FF0000"/>
          <w:sz w:val="21"/>
          <w:szCs w:val="21"/>
        </w:rPr>
      </w:pPr>
    </w:p>
    <w:p w14:paraId="19345E72">
      <w:pPr>
        <w:spacing w:line="360" w:lineRule="auto"/>
        <w:jc w:val="center"/>
        <w:rPr>
          <w:rFonts w:hint="eastAsia" w:ascii="微软雅黑 Light" w:hAnsi="微软雅黑 Light" w:eastAsia="微软雅黑 Light" w:cs="微软雅黑 Light"/>
          <w:b/>
          <w:bCs/>
          <w:sz w:val="44"/>
          <w:szCs w:val="44"/>
        </w:rPr>
      </w:pPr>
      <w:r>
        <w:rPr>
          <w:rFonts w:hint="eastAsia" w:ascii="微软雅黑 Light" w:hAnsi="微软雅黑 Light" w:eastAsia="微软雅黑 Light" w:cs="微软雅黑 Light"/>
          <w:b/>
          <w:bCs/>
          <w:sz w:val="44"/>
          <w:szCs w:val="44"/>
          <w:lang w:val="en-US" w:eastAsia="zh-CN"/>
        </w:rPr>
        <w:t>园区能碳管理系统综合解决方案</w:t>
      </w:r>
    </w:p>
    <w:p w14:paraId="3B7B0D3C">
      <w:pPr>
        <w:spacing w:line="360" w:lineRule="auto"/>
        <w:rPr>
          <w:rFonts w:hint="eastAsia" w:ascii="微软雅黑 Light" w:hAnsi="微软雅黑 Light" w:eastAsia="微软雅黑 Light" w:cs="微软雅黑 Light"/>
          <w:color w:val="FF0000"/>
          <w:sz w:val="21"/>
          <w:szCs w:val="21"/>
        </w:rPr>
      </w:pPr>
    </w:p>
    <w:p w14:paraId="7DB975B1">
      <w:pPr>
        <w:spacing w:line="360" w:lineRule="auto"/>
        <w:ind w:firstLine="437"/>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object>
          <v:shape id="_x0000_i1025" o:spt="75" type="#_x0000_t75" style="height:232.9pt;width:413.35pt;" o:ole="t" fillcolor="#6D6D6D" filled="f" stroked="f" coordsize="21600,21600">
            <v:path/>
            <v:fill on="f" focussize="0,0"/>
            <v:stroke on="f"/>
            <v:imagedata r:id="rId15" o:title=""/>
            <o:lock v:ext="edit" grouping="f" rotation="f" text="f" aspectratio="t"/>
            <w10:wrap type="none"/>
            <w10:anchorlock/>
          </v:shape>
          <o:OLEObject Type="Embed" ProgID="PBrush" ShapeID="_x0000_i1025" DrawAspect="Content" ObjectID="_1468075725" r:id="rId14">
            <o:LockedField>false</o:LockedField>
          </o:OLEObject>
        </w:object>
      </w:r>
    </w:p>
    <w:p w14:paraId="69D97B57">
      <w:pPr>
        <w:spacing w:line="360" w:lineRule="auto"/>
        <w:ind w:right="29" w:rightChars="14"/>
        <w:rPr>
          <w:rFonts w:hint="eastAsia" w:ascii="微软雅黑 Light" w:hAnsi="微软雅黑 Light" w:eastAsia="微软雅黑 Light" w:cs="微软雅黑 Light"/>
          <w:b/>
          <w:color w:val="FF0000"/>
          <w:sz w:val="21"/>
          <w:szCs w:val="21"/>
          <w:u w:val="single"/>
        </w:rPr>
      </w:pPr>
    </w:p>
    <w:p w14:paraId="0D680358">
      <w:pPr>
        <w:rPr>
          <w:rFonts w:hint="eastAsia" w:ascii="微软雅黑 Light" w:hAnsi="微软雅黑 Light" w:eastAsia="微软雅黑 Light" w:cs="微软雅黑 Light"/>
          <w:b/>
          <w:sz w:val="21"/>
          <w:szCs w:val="21"/>
        </w:rPr>
      </w:pPr>
    </w:p>
    <w:p w14:paraId="74DA6F38">
      <w:pPr>
        <w:spacing w:line="360" w:lineRule="auto"/>
        <w:ind w:firstLine="435"/>
        <w:jc w:val="center"/>
        <w:rPr>
          <w:rFonts w:hint="eastAsia" w:ascii="微软雅黑 Light" w:hAnsi="微软雅黑 Light" w:eastAsia="微软雅黑 Light" w:cs="微软雅黑 Light"/>
          <w:color w:val="FF0000"/>
          <w:sz w:val="21"/>
          <w:szCs w:val="21"/>
        </w:rPr>
      </w:pPr>
    </w:p>
    <w:p w14:paraId="2E047415">
      <w:pPr>
        <w:ind w:left="0" w:leftChars="0" w:firstLine="0" w:firstLineChars="0"/>
        <w:jc w:val="center"/>
        <w:rPr>
          <w:rFonts w:hint="eastAsia" w:ascii="微软雅黑 Light" w:hAnsi="微软雅黑 Light" w:eastAsia="微软雅黑 Light" w:cs="微软雅黑 Light"/>
          <w:b/>
          <w:sz w:val="21"/>
          <w:szCs w:val="21"/>
          <w:lang w:val="en-US" w:eastAsia="zh-CN"/>
        </w:rPr>
      </w:pPr>
      <w:r>
        <w:rPr>
          <w:rFonts w:hint="eastAsia" w:ascii="微软雅黑 Light" w:hAnsi="微软雅黑 Light" w:eastAsia="微软雅黑 Light" w:cs="微软雅黑 Light"/>
          <w:b/>
          <w:sz w:val="21"/>
          <w:szCs w:val="21"/>
          <w:lang w:eastAsia="zh-CN"/>
        </w:rPr>
        <w:t>广州通微智慧</w:t>
      </w:r>
      <w:r>
        <w:rPr>
          <w:rFonts w:hint="eastAsia" w:ascii="微软雅黑 Light" w:hAnsi="微软雅黑 Light" w:eastAsia="微软雅黑 Light" w:cs="微软雅黑 Light"/>
          <w:b/>
          <w:sz w:val="21"/>
          <w:szCs w:val="21"/>
          <w:lang w:val="en-US" w:eastAsia="zh-CN"/>
        </w:rPr>
        <w:t>科技有限公司</w:t>
      </w:r>
    </w:p>
    <w:p w14:paraId="02DCCC8D">
      <w:pPr>
        <w:ind w:left="0" w:leftChars="0" w:firstLine="0" w:firstLineChars="0"/>
        <w:jc w:val="center"/>
        <w:rPr>
          <w:rFonts w:hint="eastAsia" w:ascii="微软雅黑 Light" w:hAnsi="微软雅黑 Light" w:eastAsia="微软雅黑 Light" w:cs="微软雅黑 Light"/>
          <w:sz w:val="21"/>
          <w:szCs w:val="21"/>
          <w:lang w:val="en-US" w:eastAsia="zh-CN"/>
        </w:rPr>
        <w:sectPr>
          <w:headerReference r:id="rId4" w:type="first"/>
          <w:footerReference r:id="rId6" w:type="first"/>
          <w:headerReference r:id="rId3" w:type="default"/>
          <w:footerReference r:id="rId5" w:type="default"/>
          <w:pgSz w:w="11906" w:h="16838"/>
          <w:pgMar w:top="1440" w:right="1800" w:bottom="1440" w:left="1800" w:header="851" w:footer="992" w:gutter="0"/>
          <w:pgNumType w:fmt="decimal"/>
          <w:cols w:space="720" w:num="1"/>
          <w:titlePg/>
          <w:docGrid w:type="lines" w:linePitch="312" w:charSpace="0"/>
        </w:sectPr>
      </w:pPr>
      <w:r>
        <w:rPr>
          <w:rFonts w:hint="eastAsia" w:ascii="微软雅黑 Light" w:hAnsi="微软雅黑 Light" w:eastAsia="微软雅黑 Light" w:cs="微软雅黑 Light"/>
          <w:sz w:val="21"/>
          <w:szCs w:val="21"/>
        </w:rPr>
        <w:t>2026年6月</w:t>
      </w:r>
      <w:bookmarkStart w:id="400" w:name="_GoBack"/>
      <w:bookmarkEnd w:id="400"/>
      <w:r>
        <w:rPr>
          <w:rFonts w:hint="eastAsia" w:ascii="微软雅黑 Light" w:hAnsi="微软雅黑 Light" w:eastAsia="微软雅黑 Light" w:cs="微软雅黑 Light"/>
          <w:sz w:val="21"/>
          <w:szCs w:val="21"/>
        </w:rPr>
        <w:t>更新</w:t>
      </w:r>
    </w:p>
    <w:p w14:paraId="6E4AD9E2">
      <w:pPr>
        <w:tabs>
          <w:tab w:val="right" w:leader="dot" w:pos="9152"/>
        </w:tabs>
        <w:spacing w:line="360" w:lineRule="auto"/>
        <w:ind w:firstLine="435"/>
        <w:jc w:val="center"/>
        <w:rPr>
          <w:rFonts w:hint="eastAsia" w:ascii="微软雅黑 Light" w:hAnsi="微软雅黑 Light" w:eastAsia="微软雅黑 Light" w:cs="微软雅黑 Light"/>
          <w:kern w:val="2"/>
          <w:sz w:val="21"/>
          <w:szCs w:val="21"/>
          <w:lang w:val="en-US" w:eastAsia="zh-CN" w:bidi="ar-SA"/>
        </w:rPr>
      </w:pPr>
      <w:r>
        <w:rPr>
          <w:rFonts w:hint="eastAsia" w:ascii="微软雅黑 Light" w:hAnsi="微软雅黑 Light" w:eastAsia="微软雅黑 Light" w:cs="微软雅黑 Light"/>
          <w:sz w:val="21"/>
          <w:szCs w:val="21"/>
        </w:rPr>
        <w:t xml:space="preserve">目   录 </w:t>
      </w:r>
      <w:r>
        <w:rPr>
          <w:rFonts w:hint="eastAsia" w:ascii="微软雅黑 Light" w:hAnsi="微软雅黑 Light" w:eastAsia="微软雅黑 Light" w:cs="微软雅黑 Light"/>
          <w:sz w:val="21"/>
          <w:szCs w:val="21"/>
        </w:rPr>
        <w:fldChar w:fldCharType="begin"/>
      </w:r>
      <w:r>
        <w:rPr>
          <w:rFonts w:hint="eastAsia" w:ascii="微软雅黑 Light" w:hAnsi="微软雅黑 Light" w:eastAsia="微软雅黑 Light" w:cs="微软雅黑 Light"/>
          <w:sz w:val="21"/>
          <w:szCs w:val="21"/>
        </w:rPr>
        <w:instrText xml:space="preserve"> TOC \o "1-3" \h \z \u </w:instrText>
      </w:r>
      <w:r>
        <w:rPr>
          <w:rFonts w:hint="eastAsia" w:ascii="微软雅黑 Light" w:hAnsi="微软雅黑 Light" w:eastAsia="微软雅黑 Light" w:cs="微软雅黑 Light"/>
          <w:sz w:val="21"/>
          <w:szCs w:val="21"/>
        </w:rPr>
        <w:fldChar w:fldCharType="separate"/>
      </w:r>
    </w:p>
    <w:p w14:paraId="2F8F81FE">
      <w:pPr>
        <w:pStyle w:val="22"/>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_Toc14565 </w:instrText>
      </w:r>
      <w:r>
        <w:rPr>
          <w:rFonts w:hint="eastAsia" w:ascii="微软雅黑 Light" w:hAnsi="微软雅黑 Light" w:eastAsia="微软雅黑 Light" w:cs="微软雅黑 Light"/>
          <w:szCs w:val="21"/>
        </w:rPr>
        <w:fldChar w:fldCharType="separate"/>
      </w:r>
      <w:r>
        <w:rPr>
          <w:rFonts w:hint="eastAsia" w:ascii="微软雅黑 Light" w:hAnsi="微软雅黑 Light" w:eastAsia="微软雅黑 Light" w:cs="微软雅黑 Light"/>
          <w:szCs w:val="21"/>
        </w:rPr>
        <w:t xml:space="preserve">一、 </w:t>
      </w:r>
      <w:r>
        <w:rPr>
          <w:rFonts w:hint="eastAsia"/>
        </w:rPr>
        <w:t>概述</w:t>
      </w:r>
      <w:r>
        <w:tab/>
      </w:r>
      <w:r>
        <w:fldChar w:fldCharType="begin"/>
      </w:r>
      <w:r>
        <w:instrText xml:space="preserve"> PAGEREF _Toc14565 \h </w:instrText>
      </w:r>
      <w:r>
        <w:fldChar w:fldCharType="separate"/>
      </w:r>
      <w:r>
        <w:t>6</w:t>
      </w:r>
      <w:r>
        <w:fldChar w:fldCharType="end"/>
      </w:r>
      <w:r>
        <w:rPr>
          <w:rFonts w:hint="eastAsia" w:ascii="微软雅黑 Light" w:hAnsi="微软雅黑 Light" w:eastAsia="微软雅黑 Light" w:cs="微软雅黑 Light"/>
          <w:szCs w:val="21"/>
        </w:rPr>
        <w:fldChar w:fldCharType="end"/>
      </w:r>
    </w:p>
    <w:p w14:paraId="753B5776">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_Toc25564 </w:instrText>
      </w:r>
      <w:r>
        <w:rPr>
          <w:rFonts w:hint="eastAsia" w:ascii="微软雅黑 Light" w:hAnsi="微软雅黑 Light" w:eastAsia="微软雅黑 Light" w:cs="微软雅黑 Light"/>
          <w:szCs w:val="21"/>
        </w:rPr>
        <w:fldChar w:fldCharType="separate"/>
      </w:r>
      <w:r>
        <w:rPr>
          <w:rFonts w:hint="eastAsia"/>
          <w:lang w:val="en-US" w:eastAsia="zh-CN"/>
        </w:rPr>
        <w:t>1.1</w:t>
      </w:r>
      <w:r>
        <w:rPr>
          <w:rFonts w:hint="eastAsia"/>
        </w:rPr>
        <w:t>项目背景</w:t>
      </w:r>
      <w:r>
        <w:tab/>
      </w:r>
      <w:r>
        <w:fldChar w:fldCharType="begin"/>
      </w:r>
      <w:r>
        <w:instrText xml:space="preserve"> PAGEREF _Toc25564 \h </w:instrText>
      </w:r>
      <w:r>
        <w:fldChar w:fldCharType="separate"/>
      </w:r>
      <w:r>
        <w:t>6</w:t>
      </w:r>
      <w:r>
        <w:fldChar w:fldCharType="end"/>
      </w:r>
      <w:r>
        <w:rPr>
          <w:rFonts w:hint="eastAsia" w:ascii="微软雅黑 Light" w:hAnsi="微软雅黑 Light" w:eastAsia="微软雅黑 Light" w:cs="微软雅黑 Light"/>
          <w:szCs w:val="21"/>
        </w:rPr>
        <w:fldChar w:fldCharType="end"/>
      </w:r>
    </w:p>
    <w:p w14:paraId="1AE5D3E0">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_Toc8470 </w:instrText>
      </w:r>
      <w:r>
        <w:rPr>
          <w:rFonts w:hint="eastAsia" w:ascii="微软雅黑 Light" w:hAnsi="微软雅黑 Light" w:eastAsia="微软雅黑 Light" w:cs="微软雅黑 Light"/>
          <w:szCs w:val="21"/>
        </w:rPr>
        <w:fldChar w:fldCharType="separate"/>
      </w:r>
      <w:r>
        <w:rPr>
          <w:rFonts w:hint="eastAsia"/>
          <w:lang w:val="en-US" w:eastAsia="zh-CN"/>
        </w:rPr>
        <w:t>1.2</w:t>
      </w:r>
      <w:r>
        <w:rPr>
          <w:rFonts w:hint="eastAsia"/>
        </w:rPr>
        <w:t>建立能耗管理系统的意义</w:t>
      </w:r>
      <w:r>
        <w:tab/>
      </w:r>
      <w:r>
        <w:fldChar w:fldCharType="begin"/>
      </w:r>
      <w:r>
        <w:instrText xml:space="preserve"> PAGEREF _Toc8470 \h </w:instrText>
      </w:r>
      <w:r>
        <w:fldChar w:fldCharType="separate"/>
      </w:r>
      <w:r>
        <w:t>7</w:t>
      </w:r>
      <w:r>
        <w:fldChar w:fldCharType="end"/>
      </w:r>
      <w:r>
        <w:rPr>
          <w:rFonts w:hint="eastAsia" w:ascii="微软雅黑 Light" w:hAnsi="微软雅黑 Light" w:eastAsia="微软雅黑 Light" w:cs="微软雅黑 Light"/>
          <w:szCs w:val="21"/>
        </w:rPr>
        <w:fldChar w:fldCharType="end"/>
      </w:r>
    </w:p>
    <w:p w14:paraId="0793BF6F">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_Toc13368 </w:instrText>
      </w:r>
      <w:r>
        <w:rPr>
          <w:rFonts w:hint="eastAsia" w:ascii="微软雅黑 Light" w:hAnsi="微软雅黑 Light" w:eastAsia="微软雅黑 Light" w:cs="微软雅黑 Light"/>
          <w:szCs w:val="21"/>
        </w:rPr>
        <w:fldChar w:fldCharType="separate"/>
      </w:r>
      <w:r>
        <w:rPr>
          <w:rFonts w:hint="eastAsia"/>
          <w:lang w:val="en-US" w:eastAsia="zh-CN"/>
        </w:rPr>
        <w:t>1.3公司业务简介</w:t>
      </w:r>
      <w:r>
        <w:tab/>
      </w:r>
      <w:r>
        <w:fldChar w:fldCharType="begin"/>
      </w:r>
      <w:r>
        <w:instrText xml:space="preserve"> PAGEREF _Toc13368 \h </w:instrText>
      </w:r>
      <w:r>
        <w:fldChar w:fldCharType="separate"/>
      </w:r>
      <w:r>
        <w:t>8</w:t>
      </w:r>
      <w:r>
        <w:fldChar w:fldCharType="end"/>
      </w:r>
      <w:r>
        <w:rPr>
          <w:rFonts w:hint="eastAsia" w:ascii="微软雅黑 Light" w:hAnsi="微软雅黑 Light" w:eastAsia="微软雅黑 Light" w:cs="微软雅黑 Light"/>
          <w:szCs w:val="21"/>
        </w:rPr>
        <w:fldChar w:fldCharType="end"/>
      </w:r>
    </w:p>
    <w:p w14:paraId="7D20AA04">
      <w:pPr>
        <w:pStyle w:val="22"/>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_Toc19150 </w:instrText>
      </w:r>
      <w:r>
        <w:rPr>
          <w:rFonts w:hint="eastAsia" w:ascii="微软雅黑 Light" w:hAnsi="微软雅黑 Light" w:eastAsia="微软雅黑 Light" w:cs="微软雅黑 Light"/>
          <w:szCs w:val="21"/>
        </w:rPr>
        <w:fldChar w:fldCharType="separate"/>
      </w:r>
      <w:r>
        <w:rPr>
          <w:rFonts w:hint="eastAsia"/>
        </w:rPr>
        <w:t>二、 系统整体设计方案</w:t>
      </w:r>
      <w:r>
        <w:tab/>
      </w:r>
      <w:r>
        <w:fldChar w:fldCharType="begin"/>
      </w:r>
      <w:r>
        <w:instrText xml:space="preserve"> PAGEREF _Toc19150 \h </w:instrText>
      </w:r>
      <w:r>
        <w:fldChar w:fldCharType="separate"/>
      </w:r>
      <w:r>
        <w:t>9</w:t>
      </w:r>
      <w:r>
        <w:fldChar w:fldCharType="end"/>
      </w:r>
      <w:r>
        <w:rPr>
          <w:rFonts w:hint="eastAsia" w:ascii="微软雅黑 Light" w:hAnsi="微软雅黑 Light" w:eastAsia="微软雅黑 Light" w:cs="微软雅黑 Light"/>
          <w:szCs w:val="21"/>
        </w:rPr>
        <w:fldChar w:fldCharType="end"/>
      </w:r>
    </w:p>
    <w:p w14:paraId="4E58A6C8">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_Toc17865 </w:instrText>
      </w:r>
      <w:r>
        <w:rPr>
          <w:rFonts w:hint="eastAsia" w:ascii="微软雅黑 Light" w:hAnsi="微软雅黑 Light" w:eastAsia="微软雅黑 Light" w:cs="微软雅黑 Light"/>
          <w:szCs w:val="21"/>
        </w:rPr>
        <w:fldChar w:fldCharType="separate"/>
      </w:r>
      <w:r>
        <w:rPr>
          <w:rFonts w:hint="eastAsia"/>
          <w:lang w:val="en-US" w:eastAsia="zh-CN"/>
        </w:rPr>
        <w:t>2.1</w:t>
      </w:r>
      <w:r>
        <w:rPr>
          <w:rFonts w:hint="eastAsia"/>
        </w:rPr>
        <w:t>系统需求分析</w:t>
      </w:r>
      <w:r>
        <w:tab/>
      </w:r>
      <w:r>
        <w:fldChar w:fldCharType="begin"/>
      </w:r>
      <w:r>
        <w:instrText xml:space="preserve"> PAGEREF _Toc17865 \h </w:instrText>
      </w:r>
      <w:r>
        <w:fldChar w:fldCharType="separate"/>
      </w:r>
      <w:r>
        <w:t>9</w:t>
      </w:r>
      <w:r>
        <w:fldChar w:fldCharType="end"/>
      </w:r>
      <w:r>
        <w:rPr>
          <w:rFonts w:hint="eastAsia" w:ascii="微软雅黑 Light" w:hAnsi="微软雅黑 Light" w:eastAsia="微软雅黑 Light" w:cs="微软雅黑 Light"/>
          <w:szCs w:val="21"/>
        </w:rPr>
        <w:fldChar w:fldCharType="end"/>
      </w:r>
    </w:p>
    <w:p w14:paraId="11B8FA01">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_Toc19603 </w:instrText>
      </w:r>
      <w:r>
        <w:rPr>
          <w:rFonts w:hint="eastAsia" w:ascii="微软雅黑 Light" w:hAnsi="微软雅黑 Light" w:eastAsia="微软雅黑 Light" w:cs="微软雅黑 Light"/>
          <w:szCs w:val="21"/>
        </w:rPr>
        <w:fldChar w:fldCharType="separate"/>
      </w:r>
      <w:r>
        <w:rPr>
          <w:rFonts w:hint="eastAsia"/>
          <w:lang w:val="en-US" w:eastAsia="zh-CN"/>
        </w:rPr>
        <w:t>2.2</w:t>
      </w:r>
      <w:r>
        <w:rPr>
          <w:rFonts w:hint="eastAsia"/>
        </w:rPr>
        <w:t>系统建设原则</w:t>
      </w:r>
      <w:r>
        <w:tab/>
      </w:r>
      <w:r>
        <w:fldChar w:fldCharType="begin"/>
      </w:r>
      <w:r>
        <w:instrText xml:space="preserve"> PAGEREF _Toc19603 \h </w:instrText>
      </w:r>
      <w:r>
        <w:fldChar w:fldCharType="separate"/>
      </w:r>
      <w:r>
        <w:t>10</w:t>
      </w:r>
      <w:r>
        <w:fldChar w:fldCharType="end"/>
      </w:r>
      <w:r>
        <w:rPr>
          <w:rFonts w:hint="eastAsia" w:ascii="微软雅黑 Light" w:hAnsi="微软雅黑 Light" w:eastAsia="微软雅黑 Light" w:cs="微软雅黑 Light"/>
          <w:szCs w:val="21"/>
        </w:rPr>
        <w:fldChar w:fldCharType="end"/>
      </w:r>
    </w:p>
    <w:p w14:paraId="37C47E4D">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_Toc30004 </w:instrText>
      </w:r>
      <w:r>
        <w:rPr>
          <w:rFonts w:hint="eastAsia" w:ascii="微软雅黑 Light" w:hAnsi="微软雅黑 Light" w:eastAsia="微软雅黑 Light" w:cs="微软雅黑 Light"/>
          <w:szCs w:val="21"/>
        </w:rPr>
        <w:fldChar w:fldCharType="separate"/>
      </w:r>
      <w:r>
        <w:rPr>
          <w:rFonts w:hint="eastAsia"/>
          <w:lang w:val="en-US" w:eastAsia="zh-CN"/>
        </w:rPr>
        <w:t>2.3</w:t>
      </w:r>
      <w:r>
        <w:rPr>
          <w:rFonts w:hint="eastAsia"/>
        </w:rPr>
        <w:t>系统目标</w:t>
      </w:r>
      <w:r>
        <w:tab/>
      </w:r>
      <w:r>
        <w:fldChar w:fldCharType="begin"/>
      </w:r>
      <w:r>
        <w:instrText xml:space="preserve"> PAGEREF _Toc30004 \h </w:instrText>
      </w:r>
      <w:r>
        <w:fldChar w:fldCharType="separate"/>
      </w:r>
      <w:r>
        <w:t>11</w:t>
      </w:r>
      <w:r>
        <w:fldChar w:fldCharType="end"/>
      </w:r>
      <w:r>
        <w:rPr>
          <w:rFonts w:hint="eastAsia" w:ascii="微软雅黑 Light" w:hAnsi="微软雅黑 Light" w:eastAsia="微软雅黑 Light" w:cs="微软雅黑 Light"/>
          <w:szCs w:val="21"/>
        </w:rPr>
        <w:fldChar w:fldCharType="end"/>
      </w:r>
    </w:p>
    <w:p w14:paraId="3A20CC39">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_Toc6086 </w:instrText>
      </w:r>
      <w:r>
        <w:rPr>
          <w:rFonts w:hint="eastAsia" w:ascii="微软雅黑 Light" w:hAnsi="微软雅黑 Light" w:eastAsia="微软雅黑 Light" w:cs="微软雅黑 Light"/>
          <w:szCs w:val="21"/>
        </w:rPr>
        <w:fldChar w:fldCharType="separate"/>
      </w:r>
      <w:r>
        <w:rPr>
          <w:rFonts w:hint="eastAsia"/>
          <w:lang w:val="en-US" w:eastAsia="zh-CN"/>
        </w:rPr>
        <w:t>2.4</w:t>
      </w:r>
      <w:r>
        <w:rPr>
          <w:rFonts w:hint="eastAsia"/>
        </w:rPr>
        <w:t>智能建筑的能耗计量</w:t>
      </w:r>
      <w:r>
        <w:tab/>
      </w:r>
      <w:r>
        <w:fldChar w:fldCharType="begin"/>
      </w:r>
      <w:r>
        <w:instrText xml:space="preserve"> PAGEREF _Toc6086 \h </w:instrText>
      </w:r>
      <w:r>
        <w:fldChar w:fldCharType="separate"/>
      </w:r>
      <w:r>
        <w:t>11</w:t>
      </w:r>
      <w:r>
        <w:fldChar w:fldCharType="end"/>
      </w:r>
      <w:r>
        <w:rPr>
          <w:rFonts w:hint="eastAsia" w:ascii="微软雅黑 Light" w:hAnsi="微软雅黑 Light" w:eastAsia="微软雅黑 Light" w:cs="微软雅黑 Light"/>
          <w:szCs w:val="21"/>
        </w:rPr>
        <w:fldChar w:fldCharType="end"/>
      </w:r>
    </w:p>
    <w:p w14:paraId="1B00DFD9">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_Toc8288 </w:instrText>
      </w:r>
      <w:r>
        <w:rPr>
          <w:rFonts w:hint="eastAsia" w:ascii="微软雅黑 Light" w:hAnsi="微软雅黑 Light" w:eastAsia="微软雅黑 Light" w:cs="微软雅黑 Light"/>
          <w:szCs w:val="21"/>
        </w:rPr>
        <w:fldChar w:fldCharType="separate"/>
      </w:r>
      <w:r>
        <w:rPr>
          <w:rFonts w:hint="eastAsia"/>
        </w:rPr>
        <w:t>2.4.1冷站监控系统的能耗计量</w:t>
      </w:r>
      <w:r>
        <w:tab/>
      </w:r>
      <w:r>
        <w:fldChar w:fldCharType="begin"/>
      </w:r>
      <w:r>
        <w:instrText xml:space="preserve"> PAGEREF _Toc8288 \h </w:instrText>
      </w:r>
      <w:r>
        <w:fldChar w:fldCharType="separate"/>
      </w:r>
      <w:r>
        <w:t>11</w:t>
      </w:r>
      <w:r>
        <w:fldChar w:fldCharType="end"/>
      </w:r>
      <w:r>
        <w:rPr>
          <w:rFonts w:hint="eastAsia" w:ascii="微软雅黑 Light" w:hAnsi="微软雅黑 Light" w:eastAsia="微软雅黑 Light" w:cs="微软雅黑 Light"/>
          <w:szCs w:val="21"/>
        </w:rPr>
        <w:fldChar w:fldCharType="end"/>
      </w:r>
    </w:p>
    <w:p w14:paraId="7CB62E24">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_Toc9363 </w:instrText>
      </w:r>
      <w:r>
        <w:rPr>
          <w:rFonts w:hint="eastAsia" w:ascii="微软雅黑 Light" w:hAnsi="微软雅黑 Light" w:eastAsia="微软雅黑 Light" w:cs="微软雅黑 Light"/>
          <w:szCs w:val="21"/>
        </w:rPr>
        <w:fldChar w:fldCharType="separate"/>
      </w:r>
      <w:r>
        <w:rPr>
          <w:rFonts w:hint="eastAsia"/>
        </w:rPr>
        <w:t>2.4.2供配电监测系统的能耗计量</w:t>
      </w:r>
      <w:r>
        <w:tab/>
      </w:r>
      <w:r>
        <w:fldChar w:fldCharType="begin"/>
      </w:r>
      <w:r>
        <w:instrText xml:space="preserve"> PAGEREF _Toc9363 \h </w:instrText>
      </w:r>
      <w:r>
        <w:fldChar w:fldCharType="separate"/>
      </w:r>
      <w:r>
        <w:t>13</w:t>
      </w:r>
      <w:r>
        <w:fldChar w:fldCharType="end"/>
      </w:r>
      <w:r>
        <w:rPr>
          <w:rFonts w:hint="eastAsia" w:ascii="微软雅黑 Light" w:hAnsi="微软雅黑 Light" w:eastAsia="微软雅黑 Light" w:cs="微软雅黑 Light"/>
          <w:szCs w:val="21"/>
        </w:rPr>
        <w:fldChar w:fldCharType="end"/>
      </w:r>
    </w:p>
    <w:p w14:paraId="2B748EBC">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_Toc12577 </w:instrText>
      </w:r>
      <w:r>
        <w:rPr>
          <w:rFonts w:hint="eastAsia" w:ascii="微软雅黑 Light" w:hAnsi="微软雅黑 Light" w:eastAsia="微软雅黑 Light" w:cs="微软雅黑 Light"/>
          <w:szCs w:val="21"/>
        </w:rPr>
        <w:fldChar w:fldCharType="separate"/>
      </w:r>
      <w:r>
        <w:rPr>
          <w:rFonts w:hint="eastAsia"/>
        </w:rPr>
        <w:t>2.4.3给排水监控系统的能耗计量</w:t>
      </w:r>
      <w:r>
        <w:tab/>
      </w:r>
      <w:r>
        <w:fldChar w:fldCharType="begin"/>
      </w:r>
      <w:r>
        <w:instrText xml:space="preserve"> PAGEREF _Toc12577 \h </w:instrText>
      </w:r>
      <w:r>
        <w:fldChar w:fldCharType="separate"/>
      </w:r>
      <w:r>
        <w:t>15</w:t>
      </w:r>
      <w:r>
        <w:fldChar w:fldCharType="end"/>
      </w:r>
      <w:r>
        <w:rPr>
          <w:rFonts w:hint="eastAsia" w:ascii="微软雅黑 Light" w:hAnsi="微软雅黑 Light" w:eastAsia="微软雅黑 Light" w:cs="微软雅黑 Light"/>
          <w:szCs w:val="21"/>
        </w:rPr>
        <w:fldChar w:fldCharType="end"/>
      </w:r>
    </w:p>
    <w:p w14:paraId="76DBF31F">
      <w:pPr>
        <w:pStyle w:val="22"/>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_Toc9843 </w:instrText>
      </w:r>
      <w:r>
        <w:rPr>
          <w:rFonts w:hint="eastAsia" w:ascii="微软雅黑 Light" w:hAnsi="微软雅黑 Light" w:eastAsia="微软雅黑 Light" w:cs="微软雅黑 Light"/>
          <w:szCs w:val="21"/>
        </w:rPr>
        <w:fldChar w:fldCharType="separate"/>
      </w:r>
      <w:r>
        <w:rPr>
          <w:rFonts w:hint="eastAsia"/>
        </w:rPr>
        <w:t>三、 系统整体结构</w:t>
      </w:r>
      <w:r>
        <w:tab/>
      </w:r>
      <w:r>
        <w:fldChar w:fldCharType="begin"/>
      </w:r>
      <w:r>
        <w:instrText xml:space="preserve"> PAGEREF _Toc9843 \h </w:instrText>
      </w:r>
      <w:r>
        <w:fldChar w:fldCharType="separate"/>
      </w:r>
      <w:r>
        <w:t>17</w:t>
      </w:r>
      <w:r>
        <w:fldChar w:fldCharType="end"/>
      </w:r>
      <w:r>
        <w:rPr>
          <w:rFonts w:hint="eastAsia" w:ascii="微软雅黑 Light" w:hAnsi="微软雅黑 Light" w:eastAsia="微软雅黑 Light" w:cs="微软雅黑 Light"/>
          <w:szCs w:val="21"/>
        </w:rPr>
        <w:fldChar w:fldCharType="end"/>
      </w:r>
    </w:p>
    <w:p w14:paraId="09D45B60">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_Toc571 </w:instrText>
      </w:r>
      <w:r>
        <w:rPr>
          <w:rFonts w:hint="eastAsia" w:ascii="微软雅黑 Light" w:hAnsi="微软雅黑 Light" w:eastAsia="微软雅黑 Light" w:cs="微软雅黑 Light"/>
          <w:szCs w:val="21"/>
        </w:rPr>
        <w:fldChar w:fldCharType="separate"/>
      </w:r>
      <w:r>
        <w:rPr>
          <w:rFonts w:hint="eastAsia"/>
          <w:lang w:val="en-US" w:eastAsia="zh-CN"/>
        </w:rPr>
        <w:t>3.1</w:t>
      </w:r>
      <w:r>
        <w:rPr>
          <w:rFonts w:hint="eastAsia"/>
        </w:rPr>
        <w:t>系统功能架构</w:t>
      </w:r>
      <w:r>
        <w:tab/>
      </w:r>
      <w:r>
        <w:fldChar w:fldCharType="begin"/>
      </w:r>
      <w:r>
        <w:instrText xml:space="preserve"> PAGEREF _Toc571 \h </w:instrText>
      </w:r>
      <w:r>
        <w:fldChar w:fldCharType="separate"/>
      </w:r>
      <w:r>
        <w:t>17</w:t>
      </w:r>
      <w:r>
        <w:fldChar w:fldCharType="end"/>
      </w:r>
      <w:r>
        <w:rPr>
          <w:rFonts w:hint="eastAsia" w:ascii="微软雅黑 Light" w:hAnsi="微软雅黑 Light" w:eastAsia="微软雅黑 Light" w:cs="微软雅黑 Light"/>
          <w:szCs w:val="21"/>
        </w:rPr>
        <w:fldChar w:fldCharType="end"/>
      </w:r>
    </w:p>
    <w:p w14:paraId="52662AF5">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_Toc21914 </w:instrText>
      </w:r>
      <w:r>
        <w:rPr>
          <w:rFonts w:hint="eastAsia" w:ascii="微软雅黑 Light" w:hAnsi="微软雅黑 Light" w:eastAsia="微软雅黑 Light" w:cs="微软雅黑 Light"/>
          <w:szCs w:val="21"/>
        </w:rPr>
        <w:fldChar w:fldCharType="separate"/>
      </w:r>
      <w:r>
        <w:rPr>
          <w:rFonts w:hint="eastAsia" w:ascii="Arial" w:hAnsi="Arial" w:cs="Times New Roman"/>
          <w:lang w:val="en-US" w:eastAsia="zh-CN"/>
        </w:rPr>
        <w:t>3.2系统拓扑结构</w:t>
      </w:r>
      <w:r>
        <w:tab/>
      </w:r>
      <w:r>
        <w:fldChar w:fldCharType="begin"/>
      </w:r>
      <w:r>
        <w:instrText xml:space="preserve"> PAGEREF _Toc21914 \h </w:instrText>
      </w:r>
      <w:r>
        <w:fldChar w:fldCharType="separate"/>
      </w:r>
      <w:r>
        <w:t>18</w:t>
      </w:r>
      <w:r>
        <w:fldChar w:fldCharType="end"/>
      </w:r>
      <w:r>
        <w:rPr>
          <w:rFonts w:hint="eastAsia" w:ascii="微软雅黑 Light" w:hAnsi="微软雅黑 Light" w:eastAsia="微软雅黑 Light" w:cs="微软雅黑 Light"/>
          <w:szCs w:val="21"/>
        </w:rPr>
        <w:fldChar w:fldCharType="end"/>
      </w:r>
    </w:p>
    <w:p w14:paraId="4FF538E4">
      <w:pPr>
        <w:pStyle w:val="22"/>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_Toc6536 </w:instrText>
      </w:r>
      <w:r>
        <w:rPr>
          <w:rFonts w:hint="eastAsia" w:ascii="微软雅黑 Light" w:hAnsi="微软雅黑 Light" w:eastAsia="微软雅黑 Light" w:cs="微软雅黑 Light"/>
          <w:szCs w:val="21"/>
        </w:rPr>
        <w:fldChar w:fldCharType="separate"/>
      </w:r>
      <w:r>
        <w:rPr>
          <w:rFonts w:hint="eastAsia"/>
        </w:rPr>
        <w:t>四、 软件系统介绍</w:t>
      </w:r>
      <w:r>
        <w:tab/>
      </w:r>
      <w:r>
        <w:fldChar w:fldCharType="begin"/>
      </w:r>
      <w:r>
        <w:instrText xml:space="preserve"> PAGEREF _Toc6536 \h </w:instrText>
      </w:r>
      <w:r>
        <w:fldChar w:fldCharType="separate"/>
      </w:r>
      <w:r>
        <w:t>19</w:t>
      </w:r>
      <w:r>
        <w:fldChar w:fldCharType="end"/>
      </w:r>
      <w:r>
        <w:rPr>
          <w:rFonts w:hint="eastAsia" w:ascii="微软雅黑 Light" w:hAnsi="微软雅黑 Light" w:eastAsia="微软雅黑 Light" w:cs="微软雅黑 Light"/>
          <w:szCs w:val="21"/>
        </w:rPr>
        <w:fldChar w:fldCharType="end"/>
      </w:r>
    </w:p>
    <w:p w14:paraId="1E4DD30F">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_Toc32013 </w:instrText>
      </w:r>
      <w:r>
        <w:rPr>
          <w:rFonts w:hint="eastAsia" w:ascii="微软雅黑 Light" w:hAnsi="微软雅黑 Light" w:eastAsia="微软雅黑 Light" w:cs="微软雅黑 Light"/>
          <w:szCs w:val="21"/>
        </w:rPr>
        <w:fldChar w:fldCharType="separate"/>
      </w:r>
      <w:r>
        <w:rPr>
          <w:rFonts w:hint="eastAsia"/>
          <w:lang w:val="en-US" w:eastAsia="zh-CN"/>
        </w:rPr>
        <w:t>4.1</w:t>
      </w:r>
      <w:r>
        <w:rPr>
          <w:rFonts w:hint="eastAsia"/>
        </w:rPr>
        <w:t>能耗在线监测子系统</w:t>
      </w:r>
      <w:r>
        <w:tab/>
      </w:r>
      <w:r>
        <w:fldChar w:fldCharType="begin"/>
      </w:r>
      <w:r>
        <w:instrText xml:space="preserve"> PAGEREF _Toc32013 \h </w:instrText>
      </w:r>
      <w:r>
        <w:fldChar w:fldCharType="separate"/>
      </w:r>
      <w:r>
        <w:t>19</w:t>
      </w:r>
      <w:r>
        <w:fldChar w:fldCharType="end"/>
      </w:r>
      <w:r>
        <w:rPr>
          <w:rFonts w:hint="eastAsia" w:ascii="微软雅黑 Light" w:hAnsi="微软雅黑 Light" w:eastAsia="微软雅黑 Light" w:cs="微软雅黑 Light"/>
          <w:szCs w:val="21"/>
        </w:rPr>
        <w:fldChar w:fldCharType="end"/>
      </w:r>
    </w:p>
    <w:p w14:paraId="545DBF10">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_Toc18501 </w:instrText>
      </w:r>
      <w:r>
        <w:rPr>
          <w:rFonts w:hint="eastAsia" w:ascii="微软雅黑 Light" w:hAnsi="微软雅黑 Light" w:eastAsia="微软雅黑 Light" w:cs="微软雅黑 Light"/>
          <w:szCs w:val="21"/>
        </w:rPr>
        <w:fldChar w:fldCharType="separate"/>
      </w:r>
      <w:r>
        <w:rPr>
          <w:rFonts w:hint="eastAsia"/>
        </w:rPr>
        <w:t>4.1.1建筑用能监测</w:t>
      </w:r>
      <w:r>
        <w:tab/>
      </w:r>
      <w:r>
        <w:fldChar w:fldCharType="begin"/>
      </w:r>
      <w:r>
        <w:instrText xml:space="preserve"> PAGEREF _Toc18501 \h </w:instrText>
      </w:r>
      <w:r>
        <w:fldChar w:fldCharType="separate"/>
      </w:r>
      <w:r>
        <w:t>19</w:t>
      </w:r>
      <w:r>
        <w:fldChar w:fldCharType="end"/>
      </w:r>
      <w:r>
        <w:rPr>
          <w:rFonts w:hint="eastAsia" w:ascii="微软雅黑 Light" w:hAnsi="微软雅黑 Light" w:eastAsia="微软雅黑 Light" w:cs="微软雅黑 Light"/>
          <w:szCs w:val="21"/>
        </w:rPr>
        <w:fldChar w:fldCharType="end"/>
      </w:r>
    </w:p>
    <w:p w14:paraId="648C728F">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_Toc14900 </w:instrText>
      </w:r>
      <w:r>
        <w:rPr>
          <w:rFonts w:hint="eastAsia" w:ascii="微软雅黑 Light" w:hAnsi="微软雅黑 Light" w:eastAsia="微软雅黑 Light" w:cs="微软雅黑 Light"/>
          <w:szCs w:val="21"/>
        </w:rPr>
        <w:fldChar w:fldCharType="separate"/>
      </w:r>
      <w:r>
        <w:rPr>
          <w:rFonts w:hint="eastAsia"/>
        </w:rPr>
        <w:t>4.1.2建筑能耗查询</w:t>
      </w:r>
      <w:r>
        <w:tab/>
      </w:r>
      <w:r>
        <w:fldChar w:fldCharType="begin"/>
      </w:r>
      <w:r>
        <w:instrText xml:space="preserve"> PAGEREF _Toc14900 \h </w:instrText>
      </w:r>
      <w:r>
        <w:fldChar w:fldCharType="separate"/>
      </w:r>
      <w:r>
        <w:t>22</w:t>
      </w:r>
      <w:r>
        <w:fldChar w:fldCharType="end"/>
      </w:r>
      <w:r>
        <w:rPr>
          <w:rFonts w:hint="eastAsia" w:ascii="微软雅黑 Light" w:hAnsi="微软雅黑 Light" w:eastAsia="微软雅黑 Light" w:cs="微软雅黑 Light"/>
          <w:szCs w:val="21"/>
        </w:rPr>
        <w:fldChar w:fldCharType="end"/>
      </w:r>
    </w:p>
    <w:p w14:paraId="2F62FD61">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_Toc2772 </w:instrText>
      </w:r>
      <w:r>
        <w:rPr>
          <w:rFonts w:hint="eastAsia" w:ascii="微软雅黑 Light" w:hAnsi="微软雅黑 Light" w:eastAsia="微软雅黑 Light" w:cs="微软雅黑 Light"/>
          <w:szCs w:val="21"/>
        </w:rPr>
        <w:fldChar w:fldCharType="separate"/>
      </w:r>
      <w:r>
        <w:rPr>
          <w:rFonts w:hint="eastAsia" w:ascii="Arial" w:hAnsi="Arial" w:cs="Times New Roman"/>
          <w:lang w:val="en-US" w:eastAsia="zh-CN"/>
        </w:rPr>
        <w:t>4.2</w:t>
      </w:r>
      <w:r>
        <w:rPr>
          <w:rFonts w:hint="eastAsia" w:ascii="Arial" w:hAnsi="Arial" w:cs="Times New Roman"/>
        </w:rPr>
        <w:t>建筑环境监测</w:t>
      </w:r>
      <w:r>
        <w:tab/>
      </w:r>
      <w:r>
        <w:fldChar w:fldCharType="begin"/>
      </w:r>
      <w:r>
        <w:instrText xml:space="preserve"> PAGEREF _Toc2772 \h </w:instrText>
      </w:r>
      <w:r>
        <w:fldChar w:fldCharType="separate"/>
      </w:r>
      <w:r>
        <w:t>23</w:t>
      </w:r>
      <w:r>
        <w:fldChar w:fldCharType="end"/>
      </w:r>
      <w:r>
        <w:rPr>
          <w:rFonts w:hint="eastAsia" w:ascii="微软雅黑 Light" w:hAnsi="微软雅黑 Light" w:eastAsia="微软雅黑 Light" w:cs="微软雅黑 Light"/>
          <w:szCs w:val="21"/>
        </w:rPr>
        <w:fldChar w:fldCharType="end"/>
      </w:r>
    </w:p>
    <w:p w14:paraId="0272E52E">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_Toc541 </w:instrText>
      </w:r>
      <w:r>
        <w:rPr>
          <w:rFonts w:hint="eastAsia" w:ascii="微软雅黑 Light" w:hAnsi="微软雅黑 Light" w:eastAsia="微软雅黑 Light" w:cs="微软雅黑 Light"/>
          <w:szCs w:val="21"/>
        </w:rPr>
        <w:fldChar w:fldCharType="separate"/>
      </w:r>
      <w:r>
        <w:rPr>
          <w:rFonts w:hint="eastAsia" w:ascii="Arial" w:hAnsi="Arial" w:cs="Times New Roman"/>
          <w:lang w:val="en-US" w:eastAsia="zh-CN"/>
        </w:rPr>
        <w:t>4.3能耗公示、评价系统</w:t>
      </w:r>
      <w:r>
        <w:tab/>
      </w:r>
      <w:r>
        <w:fldChar w:fldCharType="begin"/>
      </w:r>
      <w:r>
        <w:instrText xml:space="preserve"> PAGEREF _Toc541 \h </w:instrText>
      </w:r>
      <w:r>
        <w:fldChar w:fldCharType="separate"/>
      </w:r>
      <w:r>
        <w:t>24</w:t>
      </w:r>
      <w:r>
        <w:fldChar w:fldCharType="end"/>
      </w:r>
      <w:r>
        <w:rPr>
          <w:rFonts w:hint="eastAsia" w:ascii="微软雅黑 Light" w:hAnsi="微软雅黑 Light" w:eastAsia="微软雅黑 Light" w:cs="微软雅黑 Light"/>
          <w:szCs w:val="21"/>
        </w:rPr>
        <w:fldChar w:fldCharType="end"/>
      </w:r>
    </w:p>
    <w:p w14:paraId="286238C2">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_Toc2929 </w:instrText>
      </w:r>
      <w:r>
        <w:rPr>
          <w:rFonts w:hint="eastAsia" w:ascii="微软雅黑 Light" w:hAnsi="微软雅黑 Light" w:eastAsia="微软雅黑 Light" w:cs="微软雅黑 Light"/>
          <w:szCs w:val="21"/>
        </w:rPr>
        <w:fldChar w:fldCharType="separate"/>
      </w:r>
      <w:r>
        <w:rPr>
          <w:rFonts w:hint="eastAsia" w:ascii="微软雅黑 Light" w:hAnsi="微软雅黑 Light" w:eastAsia="微软雅黑 Light" w:cs="微软雅黑 Light"/>
          <w:szCs w:val="21"/>
        </w:rPr>
        <w:t>4.3.1能效公示</w:t>
      </w:r>
      <w:r>
        <w:tab/>
      </w:r>
      <w:r>
        <w:fldChar w:fldCharType="begin"/>
      </w:r>
      <w:r>
        <w:instrText xml:space="preserve"> PAGEREF _Toc2929 \h </w:instrText>
      </w:r>
      <w:r>
        <w:fldChar w:fldCharType="separate"/>
      </w:r>
      <w:r>
        <w:t>24</w:t>
      </w:r>
      <w:r>
        <w:fldChar w:fldCharType="end"/>
      </w:r>
      <w:r>
        <w:rPr>
          <w:rFonts w:hint="eastAsia" w:ascii="微软雅黑 Light" w:hAnsi="微软雅黑 Light" w:eastAsia="微软雅黑 Light" w:cs="微软雅黑 Light"/>
          <w:szCs w:val="21"/>
        </w:rPr>
        <w:fldChar w:fldCharType="end"/>
      </w:r>
    </w:p>
    <w:p w14:paraId="3AB31EDA">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_Toc25048 </w:instrText>
      </w:r>
      <w:r>
        <w:rPr>
          <w:rFonts w:hint="eastAsia" w:ascii="微软雅黑 Light" w:hAnsi="微软雅黑 Light" w:eastAsia="微软雅黑 Light" w:cs="微软雅黑 Light"/>
          <w:szCs w:val="21"/>
        </w:rPr>
        <w:fldChar w:fldCharType="separate"/>
      </w:r>
      <w:r>
        <w:rPr>
          <w:rFonts w:hint="eastAsia" w:ascii="微软雅黑 Light" w:hAnsi="微软雅黑 Light" w:eastAsia="微软雅黑 Light" w:cs="微软雅黑 Light"/>
          <w:szCs w:val="21"/>
        </w:rPr>
        <w:t>4.3.2用能评价标准提炼</w:t>
      </w:r>
      <w:r>
        <w:tab/>
      </w:r>
      <w:r>
        <w:fldChar w:fldCharType="begin"/>
      </w:r>
      <w:r>
        <w:instrText xml:space="preserve"> PAGEREF _Toc25048 \h </w:instrText>
      </w:r>
      <w:r>
        <w:fldChar w:fldCharType="separate"/>
      </w:r>
      <w:r>
        <w:t>25</w:t>
      </w:r>
      <w:r>
        <w:fldChar w:fldCharType="end"/>
      </w:r>
      <w:r>
        <w:rPr>
          <w:rFonts w:hint="eastAsia" w:ascii="微软雅黑 Light" w:hAnsi="微软雅黑 Light" w:eastAsia="微软雅黑 Light" w:cs="微软雅黑 Light"/>
          <w:szCs w:val="21"/>
        </w:rPr>
        <w:fldChar w:fldCharType="end"/>
      </w:r>
    </w:p>
    <w:p w14:paraId="02104E61">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_Toc1964 </w:instrText>
      </w:r>
      <w:r>
        <w:rPr>
          <w:rFonts w:hint="eastAsia" w:ascii="微软雅黑 Light" w:hAnsi="微软雅黑 Light" w:eastAsia="微软雅黑 Light" w:cs="微软雅黑 Light"/>
          <w:szCs w:val="21"/>
        </w:rPr>
        <w:fldChar w:fldCharType="separate"/>
      </w:r>
      <w:r>
        <w:rPr>
          <w:rFonts w:hint="eastAsia"/>
          <w:lang w:val="en-US" w:eastAsia="zh-CN"/>
        </w:rPr>
        <w:t>4.4建筑能耗专题分析子系统</w:t>
      </w:r>
      <w:r>
        <w:tab/>
      </w:r>
      <w:r>
        <w:fldChar w:fldCharType="begin"/>
      </w:r>
      <w:r>
        <w:instrText xml:space="preserve"> PAGEREF _Toc1964 \h </w:instrText>
      </w:r>
      <w:r>
        <w:fldChar w:fldCharType="separate"/>
      </w:r>
      <w:r>
        <w:t>26</w:t>
      </w:r>
      <w:r>
        <w:fldChar w:fldCharType="end"/>
      </w:r>
      <w:r>
        <w:rPr>
          <w:rFonts w:hint="eastAsia" w:ascii="微软雅黑 Light" w:hAnsi="微软雅黑 Light" w:eastAsia="微软雅黑 Light" w:cs="微软雅黑 Light"/>
          <w:szCs w:val="21"/>
        </w:rPr>
        <w:fldChar w:fldCharType="end"/>
      </w:r>
    </w:p>
    <w:p w14:paraId="1389E049">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_Toc23173 </w:instrText>
      </w:r>
      <w:r>
        <w:rPr>
          <w:rFonts w:hint="eastAsia" w:ascii="微软雅黑 Light" w:hAnsi="微软雅黑 Light" w:eastAsia="微软雅黑 Light" w:cs="微软雅黑 Light"/>
          <w:szCs w:val="21"/>
        </w:rPr>
        <w:fldChar w:fldCharType="separate"/>
      </w:r>
      <w:r>
        <w:rPr>
          <w:rFonts w:hint="eastAsia"/>
        </w:rPr>
        <w:t>4.4.1能耗分析报告</w:t>
      </w:r>
      <w:r>
        <w:tab/>
      </w:r>
      <w:r>
        <w:fldChar w:fldCharType="begin"/>
      </w:r>
      <w:r>
        <w:instrText xml:space="preserve"> PAGEREF _Toc23173 \h </w:instrText>
      </w:r>
      <w:r>
        <w:fldChar w:fldCharType="separate"/>
      </w:r>
      <w:r>
        <w:t>27</w:t>
      </w:r>
      <w:r>
        <w:fldChar w:fldCharType="end"/>
      </w:r>
      <w:r>
        <w:rPr>
          <w:rFonts w:hint="eastAsia" w:ascii="微软雅黑 Light" w:hAnsi="微软雅黑 Light" w:eastAsia="微软雅黑 Light" w:cs="微软雅黑 Light"/>
          <w:szCs w:val="21"/>
        </w:rPr>
        <w:fldChar w:fldCharType="end"/>
      </w:r>
    </w:p>
    <w:p w14:paraId="3D4974EB">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_Toc5804 </w:instrText>
      </w:r>
      <w:r>
        <w:rPr>
          <w:rFonts w:hint="eastAsia" w:ascii="微软雅黑 Light" w:hAnsi="微软雅黑 Light" w:eastAsia="微软雅黑 Light" w:cs="微软雅黑 Light"/>
          <w:szCs w:val="21"/>
        </w:rPr>
        <w:fldChar w:fldCharType="separate"/>
      </w:r>
      <w:r>
        <w:rPr>
          <w:rFonts w:hint="eastAsia"/>
        </w:rPr>
        <w:t>4.4.2获取能耗分析报告</w:t>
      </w:r>
      <w:r>
        <w:tab/>
      </w:r>
      <w:r>
        <w:fldChar w:fldCharType="begin"/>
      </w:r>
      <w:r>
        <w:instrText xml:space="preserve"> PAGEREF _Toc5804 \h </w:instrText>
      </w:r>
      <w:r>
        <w:fldChar w:fldCharType="separate"/>
      </w:r>
      <w:r>
        <w:t>27</w:t>
      </w:r>
      <w:r>
        <w:fldChar w:fldCharType="end"/>
      </w:r>
      <w:r>
        <w:rPr>
          <w:rFonts w:hint="eastAsia" w:ascii="微软雅黑 Light" w:hAnsi="微软雅黑 Light" w:eastAsia="微软雅黑 Light" w:cs="微软雅黑 Light"/>
          <w:szCs w:val="21"/>
        </w:rPr>
        <w:fldChar w:fldCharType="end"/>
      </w:r>
    </w:p>
    <w:p w14:paraId="72C105C4">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_Toc32530 </w:instrText>
      </w:r>
      <w:r>
        <w:rPr>
          <w:rFonts w:hint="eastAsia" w:ascii="微软雅黑 Light" w:hAnsi="微软雅黑 Light" w:eastAsia="微软雅黑 Light" w:cs="微软雅黑 Light"/>
          <w:szCs w:val="21"/>
        </w:rPr>
        <w:fldChar w:fldCharType="separate"/>
      </w:r>
      <w:r>
        <w:rPr>
          <w:rFonts w:hint="eastAsia"/>
          <w:lang w:val="en-US" w:eastAsia="zh-CN"/>
        </w:rPr>
        <w:t>4.5系统报警子系统</w:t>
      </w:r>
      <w:r>
        <w:tab/>
      </w:r>
      <w:r>
        <w:fldChar w:fldCharType="begin"/>
      </w:r>
      <w:r>
        <w:instrText xml:space="preserve"> PAGEREF _Toc32530 \h </w:instrText>
      </w:r>
      <w:r>
        <w:fldChar w:fldCharType="separate"/>
      </w:r>
      <w:r>
        <w:t>28</w:t>
      </w:r>
      <w:r>
        <w:fldChar w:fldCharType="end"/>
      </w:r>
      <w:r>
        <w:rPr>
          <w:rFonts w:hint="eastAsia" w:ascii="微软雅黑 Light" w:hAnsi="微软雅黑 Light" w:eastAsia="微软雅黑 Light" w:cs="微软雅黑 Light"/>
          <w:szCs w:val="21"/>
        </w:rPr>
        <w:fldChar w:fldCharType="end"/>
      </w:r>
    </w:p>
    <w:p w14:paraId="6AB58723">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_Toc32384 </w:instrText>
      </w:r>
      <w:r>
        <w:rPr>
          <w:rFonts w:hint="eastAsia" w:ascii="微软雅黑 Light" w:hAnsi="微软雅黑 Light" w:eastAsia="微软雅黑 Light" w:cs="微软雅黑 Light"/>
          <w:szCs w:val="21"/>
        </w:rPr>
        <w:fldChar w:fldCharType="separate"/>
      </w:r>
      <w:r>
        <w:rPr>
          <w:rFonts w:hint="eastAsia"/>
        </w:rPr>
        <w:t>4.5.1设备异常和用能监测报警</w:t>
      </w:r>
      <w:r>
        <w:tab/>
      </w:r>
      <w:r>
        <w:fldChar w:fldCharType="begin"/>
      </w:r>
      <w:r>
        <w:instrText xml:space="preserve"> PAGEREF _Toc32384 \h </w:instrText>
      </w:r>
      <w:r>
        <w:fldChar w:fldCharType="separate"/>
      </w:r>
      <w:r>
        <w:t>29</w:t>
      </w:r>
      <w:r>
        <w:fldChar w:fldCharType="end"/>
      </w:r>
      <w:r>
        <w:rPr>
          <w:rFonts w:hint="eastAsia" w:ascii="微软雅黑 Light" w:hAnsi="微软雅黑 Light" w:eastAsia="微软雅黑 Light" w:cs="微软雅黑 Light"/>
          <w:szCs w:val="21"/>
        </w:rPr>
        <w:fldChar w:fldCharType="end"/>
      </w:r>
    </w:p>
    <w:p w14:paraId="48D38E69">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_Toc26817 </w:instrText>
      </w:r>
      <w:r>
        <w:rPr>
          <w:rFonts w:hint="eastAsia" w:ascii="微软雅黑 Light" w:hAnsi="微软雅黑 Light" w:eastAsia="微软雅黑 Light" w:cs="微软雅黑 Light"/>
          <w:szCs w:val="21"/>
        </w:rPr>
        <w:fldChar w:fldCharType="separate"/>
      </w:r>
      <w:r>
        <w:rPr>
          <w:rFonts w:hint="eastAsia"/>
        </w:rPr>
        <w:t>4.5.2能耗报警报告自动生成</w:t>
      </w:r>
      <w:r>
        <w:tab/>
      </w:r>
      <w:r>
        <w:fldChar w:fldCharType="begin"/>
      </w:r>
      <w:r>
        <w:instrText xml:space="preserve"> PAGEREF _Toc26817 \h </w:instrText>
      </w:r>
      <w:r>
        <w:fldChar w:fldCharType="separate"/>
      </w:r>
      <w:r>
        <w:t>29</w:t>
      </w:r>
      <w:r>
        <w:fldChar w:fldCharType="end"/>
      </w:r>
      <w:r>
        <w:rPr>
          <w:rFonts w:hint="eastAsia" w:ascii="微软雅黑 Light" w:hAnsi="微软雅黑 Light" w:eastAsia="微软雅黑 Light" w:cs="微软雅黑 Light"/>
          <w:szCs w:val="21"/>
        </w:rPr>
        <w:fldChar w:fldCharType="end"/>
      </w:r>
    </w:p>
    <w:p w14:paraId="18033CD3">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_Toc30992 </w:instrText>
      </w:r>
      <w:r>
        <w:rPr>
          <w:rFonts w:hint="eastAsia" w:ascii="微软雅黑 Light" w:hAnsi="微软雅黑 Light" w:eastAsia="微软雅黑 Light" w:cs="微软雅黑 Light"/>
          <w:szCs w:val="21"/>
        </w:rPr>
        <w:fldChar w:fldCharType="separate"/>
      </w:r>
      <w:r>
        <w:rPr>
          <w:rFonts w:hint="eastAsia"/>
        </w:rPr>
        <w:t>4.5.3能耗报警记录查询</w:t>
      </w:r>
      <w:r>
        <w:tab/>
      </w:r>
      <w:r>
        <w:fldChar w:fldCharType="begin"/>
      </w:r>
      <w:r>
        <w:instrText xml:space="preserve"> PAGEREF _Toc30992 \h </w:instrText>
      </w:r>
      <w:r>
        <w:fldChar w:fldCharType="separate"/>
      </w:r>
      <w:r>
        <w:t>29</w:t>
      </w:r>
      <w:r>
        <w:fldChar w:fldCharType="end"/>
      </w:r>
      <w:r>
        <w:rPr>
          <w:rFonts w:hint="eastAsia" w:ascii="微软雅黑 Light" w:hAnsi="微软雅黑 Light" w:eastAsia="微软雅黑 Light" w:cs="微软雅黑 Light"/>
          <w:szCs w:val="21"/>
        </w:rPr>
        <w:fldChar w:fldCharType="end"/>
      </w:r>
    </w:p>
    <w:p w14:paraId="43F2B7B4">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_Toc226 </w:instrText>
      </w:r>
      <w:r>
        <w:rPr>
          <w:rFonts w:hint="eastAsia" w:ascii="微软雅黑 Light" w:hAnsi="微软雅黑 Light" w:eastAsia="微软雅黑 Light" w:cs="微软雅黑 Light"/>
          <w:szCs w:val="21"/>
        </w:rPr>
        <w:fldChar w:fldCharType="separate"/>
      </w:r>
      <w:r>
        <w:rPr>
          <w:rFonts w:hint="eastAsia"/>
          <w:lang w:val="en-US" w:eastAsia="zh-CN"/>
        </w:rPr>
        <w:t>4.6</w:t>
      </w:r>
      <w:r>
        <w:rPr>
          <w:rFonts w:hint="eastAsia"/>
        </w:rPr>
        <w:t>系统管理和维护子系统</w:t>
      </w:r>
      <w:r>
        <w:tab/>
      </w:r>
      <w:r>
        <w:fldChar w:fldCharType="begin"/>
      </w:r>
      <w:r>
        <w:instrText xml:space="preserve"> PAGEREF _Toc226 \h </w:instrText>
      </w:r>
      <w:r>
        <w:fldChar w:fldCharType="separate"/>
      </w:r>
      <w:r>
        <w:t>29</w:t>
      </w:r>
      <w:r>
        <w:fldChar w:fldCharType="end"/>
      </w:r>
      <w:r>
        <w:rPr>
          <w:rFonts w:hint="eastAsia" w:ascii="微软雅黑 Light" w:hAnsi="微软雅黑 Light" w:eastAsia="微软雅黑 Light" w:cs="微软雅黑 Light"/>
          <w:szCs w:val="21"/>
        </w:rPr>
        <w:fldChar w:fldCharType="end"/>
      </w:r>
    </w:p>
    <w:p w14:paraId="7165ABF3">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_Toc3426 </w:instrText>
      </w:r>
      <w:r>
        <w:rPr>
          <w:rFonts w:hint="eastAsia" w:ascii="微软雅黑 Light" w:hAnsi="微软雅黑 Light" w:eastAsia="微软雅黑 Light" w:cs="微软雅黑 Light"/>
          <w:szCs w:val="21"/>
        </w:rPr>
        <w:fldChar w:fldCharType="separate"/>
      </w:r>
      <w:r>
        <w:rPr>
          <w:rFonts w:hint="eastAsia"/>
        </w:rPr>
        <w:t>4.6.1能耗模型管理系统</w:t>
      </w:r>
      <w:r>
        <w:tab/>
      </w:r>
      <w:r>
        <w:fldChar w:fldCharType="begin"/>
      </w:r>
      <w:r>
        <w:instrText xml:space="preserve"> PAGEREF _Toc3426 \h </w:instrText>
      </w:r>
      <w:r>
        <w:fldChar w:fldCharType="separate"/>
      </w:r>
      <w:r>
        <w:t>29</w:t>
      </w:r>
      <w:r>
        <w:fldChar w:fldCharType="end"/>
      </w:r>
      <w:r>
        <w:rPr>
          <w:rFonts w:hint="eastAsia" w:ascii="微软雅黑 Light" w:hAnsi="微软雅黑 Light" w:eastAsia="微软雅黑 Light" w:cs="微软雅黑 Light"/>
          <w:szCs w:val="21"/>
        </w:rPr>
        <w:fldChar w:fldCharType="end"/>
      </w:r>
    </w:p>
    <w:p w14:paraId="23D4D21C">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_Toc20844 </w:instrText>
      </w:r>
      <w:r>
        <w:rPr>
          <w:rFonts w:hint="eastAsia" w:ascii="微软雅黑 Light" w:hAnsi="微软雅黑 Light" w:eastAsia="微软雅黑 Light" w:cs="微软雅黑 Light"/>
          <w:szCs w:val="21"/>
        </w:rPr>
        <w:fldChar w:fldCharType="separate"/>
      </w:r>
      <w:r>
        <w:rPr>
          <w:rFonts w:hint="eastAsia"/>
        </w:rPr>
        <w:t>4.6.2多级权限访问控制</w:t>
      </w:r>
      <w:r>
        <w:tab/>
      </w:r>
      <w:r>
        <w:fldChar w:fldCharType="begin"/>
      </w:r>
      <w:r>
        <w:instrText xml:space="preserve"> PAGEREF _Toc20844 \h </w:instrText>
      </w:r>
      <w:r>
        <w:fldChar w:fldCharType="separate"/>
      </w:r>
      <w:r>
        <w:t>34</w:t>
      </w:r>
      <w:r>
        <w:fldChar w:fldCharType="end"/>
      </w:r>
      <w:r>
        <w:rPr>
          <w:rFonts w:hint="eastAsia" w:ascii="微软雅黑 Light" w:hAnsi="微软雅黑 Light" w:eastAsia="微软雅黑 Light" w:cs="微软雅黑 Light"/>
          <w:szCs w:val="21"/>
        </w:rPr>
        <w:fldChar w:fldCharType="end"/>
      </w:r>
    </w:p>
    <w:p w14:paraId="30D80AD2">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_Toc2138 </w:instrText>
      </w:r>
      <w:r>
        <w:rPr>
          <w:rFonts w:hint="eastAsia" w:ascii="微软雅黑 Light" w:hAnsi="微软雅黑 Light" w:eastAsia="微软雅黑 Light" w:cs="微软雅黑 Light"/>
          <w:szCs w:val="21"/>
        </w:rPr>
        <w:fldChar w:fldCharType="separate"/>
      </w:r>
      <w:r>
        <w:rPr>
          <w:rFonts w:hint="eastAsia"/>
        </w:rPr>
        <w:t>4.6.3 系统日志</w:t>
      </w:r>
      <w:r>
        <w:tab/>
      </w:r>
      <w:r>
        <w:fldChar w:fldCharType="begin"/>
      </w:r>
      <w:r>
        <w:instrText xml:space="preserve"> PAGEREF _Toc2138 \h </w:instrText>
      </w:r>
      <w:r>
        <w:fldChar w:fldCharType="separate"/>
      </w:r>
      <w:r>
        <w:t>35</w:t>
      </w:r>
      <w:r>
        <w:fldChar w:fldCharType="end"/>
      </w:r>
      <w:r>
        <w:rPr>
          <w:rFonts w:hint="eastAsia" w:ascii="微软雅黑 Light" w:hAnsi="微软雅黑 Light" w:eastAsia="微软雅黑 Light" w:cs="微软雅黑 Light"/>
          <w:szCs w:val="21"/>
        </w:rPr>
        <w:fldChar w:fldCharType="end"/>
      </w:r>
    </w:p>
    <w:p w14:paraId="4D1902A8">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_Toc23391 </w:instrText>
      </w:r>
      <w:r>
        <w:rPr>
          <w:rFonts w:hint="eastAsia" w:ascii="微软雅黑 Light" w:hAnsi="微软雅黑 Light" w:eastAsia="微软雅黑 Light" w:cs="微软雅黑 Light"/>
          <w:szCs w:val="21"/>
        </w:rPr>
        <w:fldChar w:fldCharType="separate"/>
      </w:r>
      <w:r>
        <w:rPr>
          <w:rFonts w:hint="eastAsia"/>
          <w:lang w:val="en-US" w:eastAsia="zh-CN"/>
        </w:rPr>
        <w:t>4.7</w:t>
      </w:r>
      <w:r>
        <w:rPr>
          <w:rFonts w:hint="eastAsia"/>
        </w:rPr>
        <w:t>能耗应用展示</w:t>
      </w:r>
      <w:r>
        <w:tab/>
      </w:r>
      <w:r>
        <w:fldChar w:fldCharType="begin"/>
      </w:r>
      <w:r>
        <w:instrText xml:space="preserve"> PAGEREF _Toc23391 \h </w:instrText>
      </w:r>
      <w:r>
        <w:fldChar w:fldCharType="separate"/>
      </w:r>
      <w:r>
        <w:t>36</w:t>
      </w:r>
      <w:r>
        <w:fldChar w:fldCharType="end"/>
      </w:r>
      <w:r>
        <w:rPr>
          <w:rFonts w:hint="eastAsia" w:ascii="微软雅黑 Light" w:hAnsi="微软雅黑 Light" w:eastAsia="微软雅黑 Light" w:cs="微软雅黑 Light"/>
          <w:szCs w:val="21"/>
        </w:rPr>
        <w:fldChar w:fldCharType="end"/>
      </w:r>
    </w:p>
    <w:p w14:paraId="1971695F">
      <w:pPr>
        <w:pStyle w:val="22"/>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_Toc14360 </w:instrText>
      </w:r>
      <w:r>
        <w:rPr>
          <w:rFonts w:hint="eastAsia" w:ascii="微软雅黑 Light" w:hAnsi="微软雅黑 Light" w:eastAsia="微软雅黑 Light" w:cs="微软雅黑 Light"/>
          <w:szCs w:val="21"/>
        </w:rPr>
        <w:fldChar w:fldCharType="separate"/>
      </w:r>
      <w:r>
        <w:rPr>
          <w:rFonts w:hint="eastAsia"/>
        </w:rPr>
        <w:t>五、 硬件体系介绍</w:t>
      </w:r>
      <w:r>
        <w:tab/>
      </w:r>
      <w:r>
        <w:fldChar w:fldCharType="begin"/>
      </w:r>
      <w:r>
        <w:instrText xml:space="preserve"> PAGEREF _Toc14360 \h </w:instrText>
      </w:r>
      <w:r>
        <w:fldChar w:fldCharType="separate"/>
      </w:r>
      <w:r>
        <w:t>45</w:t>
      </w:r>
      <w:r>
        <w:fldChar w:fldCharType="end"/>
      </w:r>
      <w:r>
        <w:rPr>
          <w:rFonts w:hint="eastAsia" w:ascii="微软雅黑 Light" w:hAnsi="微软雅黑 Light" w:eastAsia="微软雅黑 Light" w:cs="微软雅黑 Light"/>
          <w:szCs w:val="21"/>
        </w:rPr>
        <w:fldChar w:fldCharType="end"/>
      </w:r>
    </w:p>
    <w:p w14:paraId="24800D1A">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_Toc10502 </w:instrText>
      </w:r>
      <w:r>
        <w:rPr>
          <w:rFonts w:hint="eastAsia" w:ascii="微软雅黑 Light" w:hAnsi="微软雅黑 Light" w:eastAsia="微软雅黑 Light" w:cs="微软雅黑 Light"/>
          <w:szCs w:val="21"/>
        </w:rPr>
        <w:fldChar w:fldCharType="separate"/>
      </w:r>
      <w:r>
        <w:rPr>
          <w:rFonts w:hint="eastAsia"/>
          <w:lang w:val="en-US" w:eastAsia="zh-CN"/>
        </w:rPr>
        <w:t>5.1</w:t>
      </w:r>
      <w:r>
        <w:rPr>
          <w:rFonts w:hint="eastAsia"/>
        </w:rPr>
        <w:t>能耗监测及数据采集工程</w:t>
      </w:r>
      <w:r>
        <w:tab/>
      </w:r>
      <w:r>
        <w:fldChar w:fldCharType="begin"/>
      </w:r>
      <w:r>
        <w:instrText xml:space="preserve"> PAGEREF _Toc10502 \h </w:instrText>
      </w:r>
      <w:r>
        <w:fldChar w:fldCharType="separate"/>
      </w:r>
      <w:r>
        <w:t>45</w:t>
      </w:r>
      <w:r>
        <w:fldChar w:fldCharType="end"/>
      </w:r>
      <w:r>
        <w:rPr>
          <w:rFonts w:hint="eastAsia" w:ascii="微软雅黑 Light" w:hAnsi="微软雅黑 Light" w:eastAsia="微软雅黑 Light" w:cs="微软雅黑 Light"/>
          <w:szCs w:val="21"/>
        </w:rPr>
        <w:fldChar w:fldCharType="end"/>
      </w:r>
    </w:p>
    <w:p w14:paraId="6E76E29E">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_Toc26526 </w:instrText>
      </w:r>
      <w:r>
        <w:rPr>
          <w:rFonts w:hint="eastAsia" w:ascii="微软雅黑 Light" w:hAnsi="微软雅黑 Light" w:eastAsia="微软雅黑 Light" w:cs="微软雅黑 Light"/>
          <w:szCs w:val="21"/>
        </w:rPr>
        <w:fldChar w:fldCharType="separate"/>
      </w:r>
      <w:r>
        <w:rPr>
          <w:rFonts w:hint="eastAsia"/>
        </w:rPr>
        <w:t>5.1.1电能表</w:t>
      </w:r>
      <w:r>
        <w:tab/>
      </w:r>
      <w:r>
        <w:fldChar w:fldCharType="begin"/>
      </w:r>
      <w:r>
        <w:instrText xml:space="preserve"> PAGEREF _Toc26526 \h </w:instrText>
      </w:r>
      <w:r>
        <w:fldChar w:fldCharType="separate"/>
      </w:r>
      <w:r>
        <w:t>45</w:t>
      </w:r>
      <w:r>
        <w:fldChar w:fldCharType="end"/>
      </w:r>
      <w:r>
        <w:rPr>
          <w:rFonts w:hint="eastAsia" w:ascii="微软雅黑 Light" w:hAnsi="微软雅黑 Light" w:eastAsia="微软雅黑 Light" w:cs="微软雅黑 Light"/>
          <w:szCs w:val="21"/>
        </w:rPr>
        <w:fldChar w:fldCharType="end"/>
      </w:r>
    </w:p>
    <w:p w14:paraId="3C98FF1A">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_Toc17311 </w:instrText>
      </w:r>
      <w:r>
        <w:rPr>
          <w:rFonts w:hint="eastAsia" w:ascii="微软雅黑 Light" w:hAnsi="微软雅黑 Light" w:eastAsia="微软雅黑 Light" w:cs="微软雅黑 Light"/>
          <w:szCs w:val="21"/>
        </w:rPr>
        <w:fldChar w:fldCharType="separate"/>
      </w:r>
      <w:r>
        <w:rPr>
          <w:rFonts w:hint="eastAsia"/>
        </w:rPr>
        <w:t>5.1.2能耗数据采集终端</w:t>
      </w:r>
      <w:r>
        <w:tab/>
      </w:r>
      <w:r>
        <w:fldChar w:fldCharType="begin"/>
      </w:r>
      <w:r>
        <w:instrText xml:space="preserve"> PAGEREF _Toc17311 \h </w:instrText>
      </w:r>
      <w:r>
        <w:fldChar w:fldCharType="separate"/>
      </w:r>
      <w:r>
        <w:t>47</w:t>
      </w:r>
      <w:r>
        <w:fldChar w:fldCharType="end"/>
      </w:r>
      <w:r>
        <w:rPr>
          <w:rFonts w:hint="eastAsia" w:ascii="微软雅黑 Light" w:hAnsi="微软雅黑 Light" w:eastAsia="微软雅黑 Light" w:cs="微软雅黑 Light"/>
          <w:szCs w:val="21"/>
        </w:rPr>
        <w:fldChar w:fldCharType="end"/>
      </w:r>
    </w:p>
    <w:p w14:paraId="7BDE269F">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_Toc17519 </w:instrText>
      </w:r>
      <w:r>
        <w:rPr>
          <w:rFonts w:hint="eastAsia" w:ascii="微软雅黑 Light" w:hAnsi="微软雅黑 Light" w:eastAsia="微软雅黑 Light" w:cs="微软雅黑 Light"/>
          <w:szCs w:val="21"/>
        </w:rPr>
        <w:fldChar w:fldCharType="separate"/>
      </w:r>
      <w:r>
        <w:rPr>
          <w:rFonts w:hint="eastAsia"/>
        </w:rPr>
        <w:t>5.1.3冷（热）量计</w:t>
      </w:r>
      <w:r>
        <w:tab/>
      </w:r>
      <w:r>
        <w:fldChar w:fldCharType="begin"/>
      </w:r>
      <w:r>
        <w:instrText xml:space="preserve"> PAGEREF _Toc17519 \h </w:instrText>
      </w:r>
      <w:r>
        <w:fldChar w:fldCharType="separate"/>
      </w:r>
      <w:r>
        <w:t>49</w:t>
      </w:r>
      <w:r>
        <w:fldChar w:fldCharType="end"/>
      </w:r>
      <w:r>
        <w:rPr>
          <w:rFonts w:hint="eastAsia" w:ascii="微软雅黑 Light" w:hAnsi="微软雅黑 Light" w:eastAsia="微软雅黑 Light" w:cs="微软雅黑 Light"/>
          <w:szCs w:val="21"/>
        </w:rPr>
        <w:fldChar w:fldCharType="end"/>
      </w:r>
    </w:p>
    <w:p w14:paraId="6CB359B9">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_Toc12020 </w:instrText>
      </w:r>
      <w:r>
        <w:rPr>
          <w:rFonts w:hint="eastAsia" w:ascii="微软雅黑 Light" w:hAnsi="微软雅黑 Light" w:eastAsia="微软雅黑 Light" w:cs="微软雅黑 Light"/>
          <w:szCs w:val="21"/>
        </w:rPr>
        <w:fldChar w:fldCharType="separate"/>
      </w:r>
      <w:r>
        <w:rPr>
          <w:rFonts w:hint="eastAsia" w:ascii="微软雅黑 Light" w:hAnsi="微软雅黑 Light" w:eastAsia="微软雅黑 Light" w:cs="微软雅黑 Light"/>
          <w:szCs w:val="21"/>
          <w:lang w:val="en-US"/>
        </w:rPr>
        <w:t xml:space="preserve">1.1 </w:t>
      </w:r>
      <w:r>
        <w:rPr>
          <w:rFonts w:hint="eastAsia" w:ascii="微软雅黑 Light" w:hAnsi="微软雅黑 Light" w:eastAsia="微软雅黑 Light" w:cs="微软雅黑 Light"/>
          <w:szCs w:val="21"/>
          <w:lang w:eastAsia="zh-CN"/>
        </w:rPr>
        <w:t>建筑能耗管理</w:t>
      </w:r>
      <w:r>
        <w:rPr>
          <w:rFonts w:hint="eastAsia" w:ascii="微软雅黑 Light" w:hAnsi="微软雅黑 Light" w:eastAsia="微软雅黑 Light" w:cs="微软雅黑 Light"/>
          <w:szCs w:val="21"/>
        </w:rPr>
        <w:t>系统监控中心</w:t>
      </w:r>
      <w:r>
        <w:tab/>
      </w:r>
      <w:r>
        <w:fldChar w:fldCharType="begin"/>
      </w:r>
      <w:r>
        <w:instrText xml:space="preserve"> PAGEREF _Toc12020 \h </w:instrText>
      </w:r>
      <w:r>
        <w:fldChar w:fldCharType="separate"/>
      </w:r>
      <w:r>
        <w:t>50</w:t>
      </w:r>
      <w:r>
        <w:fldChar w:fldCharType="end"/>
      </w:r>
      <w:r>
        <w:rPr>
          <w:rFonts w:hint="eastAsia" w:ascii="微软雅黑 Light" w:hAnsi="微软雅黑 Light" w:eastAsia="微软雅黑 Light" w:cs="微软雅黑 Light"/>
          <w:szCs w:val="21"/>
        </w:rPr>
        <w:fldChar w:fldCharType="end"/>
      </w:r>
    </w:p>
    <w:p w14:paraId="7CBA6CAD">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_Toc26169 </w:instrText>
      </w:r>
      <w:r>
        <w:rPr>
          <w:rFonts w:hint="eastAsia" w:ascii="微软雅黑 Light" w:hAnsi="微软雅黑 Light" w:eastAsia="微软雅黑 Light" w:cs="微软雅黑 Light"/>
          <w:szCs w:val="21"/>
        </w:rPr>
        <w:fldChar w:fldCharType="separate"/>
      </w:r>
      <w:r>
        <w:rPr>
          <w:rFonts w:hint="eastAsia"/>
        </w:rPr>
        <w:t>5.2.1 服务器</w:t>
      </w:r>
      <w:r>
        <w:tab/>
      </w:r>
      <w:r>
        <w:fldChar w:fldCharType="begin"/>
      </w:r>
      <w:r>
        <w:instrText xml:space="preserve"> PAGEREF _Toc26169 \h </w:instrText>
      </w:r>
      <w:r>
        <w:fldChar w:fldCharType="separate"/>
      </w:r>
      <w:r>
        <w:t>50</w:t>
      </w:r>
      <w:r>
        <w:fldChar w:fldCharType="end"/>
      </w:r>
      <w:r>
        <w:rPr>
          <w:rFonts w:hint="eastAsia" w:ascii="微软雅黑 Light" w:hAnsi="微软雅黑 Light" w:eastAsia="微软雅黑 Light" w:cs="微软雅黑 Light"/>
          <w:szCs w:val="21"/>
        </w:rPr>
        <w:fldChar w:fldCharType="end"/>
      </w:r>
    </w:p>
    <w:p w14:paraId="15F36D0D">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_Toc25307 </w:instrText>
      </w:r>
      <w:r>
        <w:rPr>
          <w:rFonts w:hint="eastAsia" w:ascii="微软雅黑 Light" w:hAnsi="微软雅黑 Light" w:eastAsia="微软雅黑 Light" w:cs="微软雅黑 Light"/>
          <w:szCs w:val="21"/>
        </w:rPr>
        <w:fldChar w:fldCharType="separate"/>
      </w:r>
      <w:r>
        <w:rPr>
          <w:rFonts w:hint="eastAsia"/>
        </w:rPr>
        <w:t>5.2.2操作系统</w:t>
      </w:r>
      <w:r>
        <w:tab/>
      </w:r>
      <w:r>
        <w:fldChar w:fldCharType="begin"/>
      </w:r>
      <w:r>
        <w:instrText xml:space="preserve"> PAGEREF _Toc25307 \h </w:instrText>
      </w:r>
      <w:r>
        <w:fldChar w:fldCharType="separate"/>
      </w:r>
      <w:r>
        <w:t>51</w:t>
      </w:r>
      <w:r>
        <w:fldChar w:fldCharType="end"/>
      </w:r>
      <w:r>
        <w:rPr>
          <w:rFonts w:hint="eastAsia" w:ascii="微软雅黑 Light" w:hAnsi="微软雅黑 Light" w:eastAsia="微软雅黑 Light" w:cs="微软雅黑 Light"/>
          <w:szCs w:val="21"/>
        </w:rPr>
        <w:fldChar w:fldCharType="end"/>
      </w:r>
    </w:p>
    <w:p w14:paraId="68A386EE">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_Toc12498 </w:instrText>
      </w:r>
      <w:r>
        <w:rPr>
          <w:rFonts w:hint="eastAsia" w:ascii="微软雅黑 Light" w:hAnsi="微软雅黑 Light" w:eastAsia="微软雅黑 Light" w:cs="微软雅黑 Light"/>
          <w:szCs w:val="21"/>
        </w:rPr>
        <w:fldChar w:fldCharType="separate"/>
      </w:r>
      <w:r>
        <w:rPr>
          <w:rFonts w:hint="eastAsia" w:ascii="Arial" w:hAnsi="Arial" w:cs="Times New Roman"/>
          <w:lang w:val="en-US" w:eastAsia="zh-CN"/>
        </w:rPr>
        <w:t>5.2.3</w:t>
      </w:r>
      <w:r>
        <w:rPr>
          <w:rFonts w:hint="eastAsia" w:ascii="Arial" w:hAnsi="Arial" w:cs="Times New Roman"/>
        </w:rPr>
        <w:t>硬件架构支持</w:t>
      </w:r>
      <w:r>
        <w:tab/>
      </w:r>
      <w:r>
        <w:fldChar w:fldCharType="begin"/>
      </w:r>
      <w:r>
        <w:instrText xml:space="preserve"> PAGEREF _Toc12498 \h </w:instrText>
      </w:r>
      <w:r>
        <w:fldChar w:fldCharType="separate"/>
      </w:r>
      <w:r>
        <w:t>52</w:t>
      </w:r>
      <w:r>
        <w:fldChar w:fldCharType="end"/>
      </w:r>
      <w:r>
        <w:rPr>
          <w:rFonts w:hint="eastAsia" w:ascii="微软雅黑 Light" w:hAnsi="微软雅黑 Light" w:eastAsia="微软雅黑 Light" w:cs="微软雅黑 Light"/>
          <w:szCs w:val="21"/>
        </w:rPr>
        <w:fldChar w:fldCharType="end"/>
      </w:r>
    </w:p>
    <w:p w14:paraId="1ACC51DE">
      <w:pPr>
        <w:pStyle w:val="22"/>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_Toc14792 </w:instrText>
      </w:r>
      <w:r>
        <w:rPr>
          <w:rFonts w:hint="eastAsia" w:ascii="微软雅黑 Light" w:hAnsi="微软雅黑 Light" w:eastAsia="微软雅黑 Light" w:cs="微软雅黑 Light"/>
          <w:szCs w:val="21"/>
        </w:rPr>
        <w:fldChar w:fldCharType="separate"/>
      </w:r>
      <w:r>
        <w:rPr>
          <w:rFonts w:hint="eastAsia"/>
        </w:rPr>
        <w:t xml:space="preserve">六、 </w:t>
      </w:r>
      <w:r>
        <w:rPr>
          <w:rFonts w:ascii="Arial" w:hAnsi="Arial" w:eastAsia="微软雅黑"/>
          <w:szCs w:val="30"/>
        </w:rPr>
        <w:t>能碳核算与碳交易扩展方案</w:t>
      </w:r>
      <w:r>
        <w:tab/>
      </w:r>
      <w:r>
        <w:fldChar w:fldCharType="begin"/>
      </w:r>
      <w:r>
        <w:instrText xml:space="preserve"> PAGEREF _Toc14792 \h </w:instrText>
      </w:r>
      <w:r>
        <w:fldChar w:fldCharType="separate"/>
      </w:r>
      <w:r>
        <w:t>53</w:t>
      </w:r>
      <w:r>
        <w:fldChar w:fldCharType="end"/>
      </w:r>
      <w:r>
        <w:rPr>
          <w:rFonts w:hint="eastAsia" w:ascii="微软雅黑 Light" w:hAnsi="微软雅黑 Light" w:eastAsia="微软雅黑 Light" w:cs="微软雅黑 Light"/>
          <w:szCs w:val="21"/>
        </w:rPr>
        <w:fldChar w:fldCharType="end"/>
      </w:r>
    </w:p>
    <w:p w14:paraId="0193B9A6">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_Toc19208 </w:instrText>
      </w:r>
      <w:r>
        <w:rPr>
          <w:rFonts w:hint="eastAsia" w:ascii="微软雅黑 Light" w:hAnsi="微软雅黑 Light" w:eastAsia="微软雅黑 Light" w:cs="微软雅黑 Light"/>
          <w:szCs w:val="21"/>
        </w:rPr>
        <w:fldChar w:fldCharType="separate"/>
      </w:r>
      <w:r>
        <w:rPr>
          <w:rFonts w:hint="eastAsia" w:eastAsia="微软雅黑"/>
          <w:szCs w:val="24"/>
          <w:lang w:val="en-US" w:eastAsia="zh-CN"/>
        </w:rPr>
        <w:t>6</w:t>
      </w:r>
      <w:r>
        <w:rPr>
          <w:rFonts w:ascii="Arial" w:hAnsi="Arial" w:eastAsia="微软雅黑"/>
          <w:szCs w:val="24"/>
        </w:rPr>
        <w:t>.1 扩展建设目标与总体架构</w:t>
      </w:r>
      <w:r>
        <w:tab/>
      </w:r>
      <w:r>
        <w:fldChar w:fldCharType="begin"/>
      </w:r>
      <w:r>
        <w:instrText xml:space="preserve"> PAGEREF _Toc19208 \h </w:instrText>
      </w:r>
      <w:r>
        <w:fldChar w:fldCharType="separate"/>
      </w:r>
      <w:r>
        <w:t>53</w:t>
      </w:r>
      <w:r>
        <w:fldChar w:fldCharType="end"/>
      </w:r>
      <w:r>
        <w:rPr>
          <w:rFonts w:hint="eastAsia" w:ascii="微软雅黑 Light" w:hAnsi="微软雅黑 Light" w:eastAsia="微软雅黑 Light" w:cs="微软雅黑 Light"/>
          <w:szCs w:val="21"/>
        </w:rPr>
        <w:fldChar w:fldCharType="end"/>
      </w:r>
    </w:p>
    <w:p w14:paraId="65072356">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_Toc17615 </w:instrText>
      </w:r>
      <w:r>
        <w:rPr>
          <w:rFonts w:hint="eastAsia" w:ascii="微软雅黑 Light" w:hAnsi="微软雅黑 Light" w:eastAsia="微软雅黑 Light" w:cs="微软雅黑 Light"/>
          <w:szCs w:val="21"/>
        </w:rPr>
        <w:fldChar w:fldCharType="separate"/>
      </w:r>
      <w:r>
        <w:rPr>
          <w:rFonts w:hint="eastAsia" w:eastAsia="微软雅黑"/>
          <w:szCs w:val="24"/>
          <w:lang w:val="en-US" w:eastAsia="zh-CN"/>
        </w:rPr>
        <w:t>6.2 政策背景与建设依据</w:t>
      </w:r>
      <w:r>
        <w:tab/>
      </w:r>
      <w:r>
        <w:fldChar w:fldCharType="begin"/>
      </w:r>
      <w:r>
        <w:instrText xml:space="preserve"> PAGEREF _Toc17615 \h </w:instrText>
      </w:r>
      <w:r>
        <w:fldChar w:fldCharType="separate"/>
      </w:r>
      <w:r>
        <w:t>53</w:t>
      </w:r>
      <w:r>
        <w:fldChar w:fldCharType="end"/>
      </w:r>
      <w:r>
        <w:rPr>
          <w:rFonts w:hint="eastAsia" w:ascii="微软雅黑 Light" w:hAnsi="微软雅黑 Light" w:eastAsia="微软雅黑 Light" w:cs="微软雅黑 Light"/>
          <w:szCs w:val="21"/>
        </w:rPr>
        <w:fldChar w:fldCharType="end"/>
      </w:r>
    </w:p>
    <w:p w14:paraId="2D2C4228">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_Toc31002 </w:instrText>
      </w:r>
      <w:r>
        <w:rPr>
          <w:rFonts w:hint="eastAsia" w:ascii="微软雅黑 Light" w:hAnsi="微软雅黑 Light" w:eastAsia="微软雅黑 Light" w:cs="微软雅黑 Light"/>
          <w:szCs w:val="21"/>
        </w:rPr>
        <w:fldChar w:fldCharType="separate"/>
      </w:r>
      <w:r>
        <w:rPr>
          <w:rFonts w:hint="eastAsia" w:eastAsia="微软雅黑"/>
          <w:szCs w:val="24"/>
          <w:lang w:val="en-US" w:eastAsia="zh-CN"/>
        </w:rPr>
        <w:t>6.3 能碳核算体系</w:t>
      </w:r>
      <w:r>
        <w:tab/>
      </w:r>
      <w:r>
        <w:fldChar w:fldCharType="begin"/>
      </w:r>
      <w:r>
        <w:instrText xml:space="preserve"> PAGEREF _Toc31002 \h </w:instrText>
      </w:r>
      <w:r>
        <w:fldChar w:fldCharType="separate"/>
      </w:r>
      <w:r>
        <w:t>54</w:t>
      </w:r>
      <w:r>
        <w:fldChar w:fldCharType="end"/>
      </w:r>
      <w:r>
        <w:rPr>
          <w:rFonts w:hint="eastAsia" w:ascii="微软雅黑 Light" w:hAnsi="微软雅黑 Light" w:eastAsia="微软雅黑 Light" w:cs="微软雅黑 Light"/>
          <w:szCs w:val="21"/>
        </w:rPr>
        <w:fldChar w:fldCharType="end"/>
      </w:r>
    </w:p>
    <w:p w14:paraId="7D360214">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_Toc14531 </w:instrText>
      </w:r>
      <w:r>
        <w:rPr>
          <w:rFonts w:hint="eastAsia" w:ascii="微软雅黑 Light" w:hAnsi="微软雅黑 Light" w:eastAsia="微软雅黑 Light" w:cs="微软雅黑 Light"/>
          <w:szCs w:val="21"/>
        </w:rPr>
        <w:fldChar w:fldCharType="separate"/>
      </w:r>
      <w:r>
        <w:rPr>
          <w:rFonts w:hint="eastAsia" w:eastAsia="微软雅黑"/>
          <w:szCs w:val="22"/>
          <w:lang w:val="en-US" w:eastAsia="zh-CN"/>
        </w:rPr>
        <w:t>6</w:t>
      </w:r>
      <w:r>
        <w:rPr>
          <w:rFonts w:ascii="Arial" w:hAnsi="Arial" w:eastAsia="微软雅黑"/>
          <w:szCs w:val="22"/>
        </w:rPr>
        <w:t>.3.1 核算层级与边界</w:t>
      </w:r>
      <w:r>
        <w:tab/>
      </w:r>
      <w:r>
        <w:fldChar w:fldCharType="begin"/>
      </w:r>
      <w:r>
        <w:instrText xml:space="preserve"> PAGEREF _Toc14531 \h </w:instrText>
      </w:r>
      <w:r>
        <w:fldChar w:fldCharType="separate"/>
      </w:r>
      <w:r>
        <w:t>54</w:t>
      </w:r>
      <w:r>
        <w:fldChar w:fldCharType="end"/>
      </w:r>
      <w:r>
        <w:rPr>
          <w:rFonts w:hint="eastAsia" w:ascii="微软雅黑 Light" w:hAnsi="微软雅黑 Light" w:eastAsia="微软雅黑 Light" w:cs="微软雅黑 Light"/>
          <w:szCs w:val="21"/>
        </w:rPr>
        <w:fldChar w:fldCharType="end"/>
      </w:r>
    </w:p>
    <w:p w14:paraId="69193B8D">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_Toc24535 </w:instrText>
      </w:r>
      <w:r>
        <w:rPr>
          <w:rFonts w:hint="eastAsia" w:ascii="微软雅黑 Light" w:hAnsi="微软雅黑 Light" w:eastAsia="微软雅黑 Light" w:cs="微软雅黑 Light"/>
          <w:szCs w:val="21"/>
        </w:rPr>
        <w:fldChar w:fldCharType="separate"/>
      </w:r>
      <w:r>
        <w:rPr>
          <w:rFonts w:hint="eastAsia" w:eastAsia="微软雅黑"/>
          <w:szCs w:val="22"/>
          <w:lang w:val="en-US" w:eastAsia="zh-CN"/>
        </w:rPr>
        <w:t>6</w:t>
      </w:r>
      <w:r>
        <w:rPr>
          <w:rFonts w:ascii="Arial" w:hAnsi="Arial" w:eastAsia="微软雅黑"/>
          <w:szCs w:val="22"/>
        </w:rPr>
        <w:t>.3.2 碳排放核算引擎</w:t>
      </w:r>
      <w:r>
        <w:tab/>
      </w:r>
      <w:r>
        <w:fldChar w:fldCharType="begin"/>
      </w:r>
      <w:r>
        <w:instrText xml:space="preserve"> PAGEREF _Toc24535 \h </w:instrText>
      </w:r>
      <w:r>
        <w:fldChar w:fldCharType="separate"/>
      </w:r>
      <w:r>
        <w:t>55</w:t>
      </w:r>
      <w:r>
        <w:fldChar w:fldCharType="end"/>
      </w:r>
      <w:r>
        <w:rPr>
          <w:rFonts w:hint="eastAsia" w:ascii="微软雅黑 Light" w:hAnsi="微软雅黑 Light" w:eastAsia="微软雅黑 Light" w:cs="微软雅黑 Light"/>
          <w:szCs w:val="21"/>
        </w:rPr>
        <w:fldChar w:fldCharType="end"/>
      </w:r>
    </w:p>
    <w:p w14:paraId="674C77CE">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_Toc1376 </w:instrText>
      </w:r>
      <w:r>
        <w:rPr>
          <w:rFonts w:hint="eastAsia" w:ascii="微软雅黑 Light" w:hAnsi="微软雅黑 Light" w:eastAsia="微软雅黑 Light" w:cs="微软雅黑 Light"/>
          <w:szCs w:val="21"/>
        </w:rPr>
        <w:fldChar w:fldCharType="separate"/>
      </w:r>
      <w:r>
        <w:rPr>
          <w:rFonts w:hint="eastAsia" w:eastAsia="微软雅黑"/>
          <w:szCs w:val="22"/>
          <w:lang w:val="en-US" w:eastAsia="zh-CN"/>
        </w:rPr>
        <w:t>6</w:t>
      </w:r>
      <w:r>
        <w:rPr>
          <w:rFonts w:ascii="Arial" w:hAnsi="Arial" w:eastAsia="微软雅黑"/>
          <w:szCs w:val="22"/>
        </w:rPr>
        <w:t>.3.3 产品碳足迹核算</w:t>
      </w:r>
      <w:r>
        <w:tab/>
      </w:r>
      <w:r>
        <w:fldChar w:fldCharType="begin"/>
      </w:r>
      <w:r>
        <w:instrText xml:space="preserve"> PAGEREF _Toc1376 \h </w:instrText>
      </w:r>
      <w:r>
        <w:fldChar w:fldCharType="separate"/>
      </w:r>
      <w:r>
        <w:t>55</w:t>
      </w:r>
      <w:r>
        <w:fldChar w:fldCharType="end"/>
      </w:r>
      <w:r>
        <w:rPr>
          <w:rFonts w:hint="eastAsia" w:ascii="微软雅黑 Light" w:hAnsi="微软雅黑 Light" w:eastAsia="微软雅黑 Light" w:cs="微软雅黑 Light"/>
          <w:szCs w:val="21"/>
        </w:rPr>
        <w:fldChar w:fldCharType="end"/>
      </w:r>
    </w:p>
    <w:p w14:paraId="416C3D37">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_Toc7592 </w:instrText>
      </w:r>
      <w:r>
        <w:rPr>
          <w:rFonts w:hint="eastAsia" w:ascii="微软雅黑 Light" w:hAnsi="微软雅黑 Light" w:eastAsia="微软雅黑 Light" w:cs="微软雅黑 Light"/>
          <w:szCs w:val="21"/>
        </w:rPr>
        <w:fldChar w:fldCharType="separate"/>
      </w:r>
      <w:r>
        <w:rPr>
          <w:rFonts w:hint="eastAsia" w:eastAsia="微软雅黑"/>
          <w:szCs w:val="22"/>
          <w:lang w:val="en-US" w:eastAsia="zh-CN"/>
        </w:rPr>
        <w:t>6</w:t>
      </w:r>
      <w:r>
        <w:rPr>
          <w:rFonts w:ascii="Arial" w:hAnsi="Arial" w:eastAsia="微软雅黑"/>
          <w:szCs w:val="22"/>
        </w:rPr>
        <w:t>.3.4 核算报告自动生成</w:t>
      </w:r>
      <w:r>
        <w:tab/>
      </w:r>
      <w:r>
        <w:fldChar w:fldCharType="begin"/>
      </w:r>
      <w:r>
        <w:instrText xml:space="preserve"> PAGEREF _Toc7592 \h </w:instrText>
      </w:r>
      <w:r>
        <w:fldChar w:fldCharType="separate"/>
      </w:r>
      <w:r>
        <w:t>55</w:t>
      </w:r>
      <w:r>
        <w:fldChar w:fldCharType="end"/>
      </w:r>
      <w:r>
        <w:rPr>
          <w:rFonts w:hint="eastAsia" w:ascii="微软雅黑 Light" w:hAnsi="微软雅黑 Light" w:eastAsia="微软雅黑 Light" w:cs="微软雅黑 Light"/>
          <w:szCs w:val="21"/>
        </w:rPr>
        <w:fldChar w:fldCharType="end"/>
      </w:r>
    </w:p>
    <w:p w14:paraId="575D0D58">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_Toc28312 </w:instrText>
      </w:r>
      <w:r>
        <w:rPr>
          <w:rFonts w:hint="eastAsia" w:ascii="微软雅黑 Light" w:hAnsi="微软雅黑 Light" w:eastAsia="微软雅黑 Light" w:cs="微软雅黑 Light"/>
          <w:szCs w:val="21"/>
        </w:rPr>
        <w:fldChar w:fldCharType="separate"/>
      </w:r>
      <w:r>
        <w:rPr>
          <w:rFonts w:hint="eastAsia" w:eastAsia="微软雅黑"/>
          <w:szCs w:val="22"/>
          <w:lang w:val="en-US" w:eastAsia="zh-CN"/>
        </w:rPr>
        <w:t>6</w:t>
      </w:r>
      <w:r>
        <w:rPr>
          <w:rFonts w:ascii="Arial" w:hAnsi="Arial" w:eastAsia="微软雅黑"/>
          <w:szCs w:val="22"/>
        </w:rPr>
        <w:t>.3.5 数据质量管理</w:t>
      </w:r>
      <w:r>
        <w:tab/>
      </w:r>
      <w:r>
        <w:fldChar w:fldCharType="begin"/>
      </w:r>
      <w:r>
        <w:instrText xml:space="preserve"> PAGEREF _Toc28312 \h </w:instrText>
      </w:r>
      <w:r>
        <w:fldChar w:fldCharType="separate"/>
      </w:r>
      <w:r>
        <w:t>56</w:t>
      </w:r>
      <w:r>
        <w:fldChar w:fldCharType="end"/>
      </w:r>
      <w:r>
        <w:rPr>
          <w:rFonts w:hint="eastAsia" w:ascii="微软雅黑 Light" w:hAnsi="微软雅黑 Light" w:eastAsia="微软雅黑 Light" w:cs="微软雅黑 Light"/>
          <w:szCs w:val="21"/>
        </w:rPr>
        <w:fldChar w:fldCharType="end"/>
      </w:r>
    </w:p>
    <w:p w14:paraId="3856F544">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_Toc20764 </w:instrText>
      </w:r>
      <w:r>
        <w:rPr>
          <w:rFonts w:hint="eastAsia" w:ascii="微软雅黑 Light" w:hAnsi="微软雅黑 Light" w:eastAsia="微软雅黑 Light" w:cs="微软雅黑 Light"/>
          <w:szCs w:val="21"/>
        </w:rPr>
        <w:fldChar w:fldCharType="separate"/>
      </w:r>
      <w:r>
        <w:rPr>
          <w:rFonts w:hint="eastAsia" w:eastAsia="微软雅黑"/>
          <w:szCs w:val="24"/>
          <w:lang w:val="en-US" w:eastAsia="zh-CN"/>
        </w:rPr>
        <w:t>6.4 能碳交易管理</w:t>
      </w:r>
      <w:r>
        <w:tab/>
      </w:r>
      <w:r>
        <w:fldChar w:fldCharType="begin"/>
      </w:r>
      <w:r>
        <w:instrText xml:space="preserve"> PAGEREF _Toc20764 \h </w:instrText>
      </w:r>
      <w:r>
        <w:fldChar w:fldCharType="separate"/>
      </w:r>
      <w:r>
        <w:t>56</w:t>
      </w:r>
      <w:r>
        <w:fldChar w:fldCharType="end"/>
      </w:r>
      <w:r>
        <w:rPr>
          <w:rFonts w:hint="eastAsia" w:ascii="微软雅黑 Light" w:hAnsi="微软雅黑 Light" w:eastAsia="微软雅黑 Light" w:cs="微软雅黑 Light"/>
          <w:szCs w:val="21"/>
        </w:rPr>
        <w:fldChar w:fldCharType="end"/>
      </w:r>
    </w:p>
    <w:p w14:paraId="36ABA0C3">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_Toc385 </w:instrText>
      </w:r>
      <w:r>
        <w:rPr>
          <w:rFonts w:hint="eastAsia" w:ascii="微软雅黑 Light" w:hAnsi="微软雅黑 Light" w:eastAsia="微软雅黑 Light" w:cs="微软雅黑 Light"/>
          <w:szCs w:val="21"/>
        </w:rPr>
        <w:fldChar w:fldCharType="separate"/>
      </w:r>
      <w:r>
        <w:rPr>
          <w:rFonts w:hint="eastAsia" w:eastAsia="微软雅黑"/>
          <w:szCs w:val="22"/>
          <w:lang w:val="en-US" w:eastAsia="zh-CN"/>
        </w:rPr>
        <w:t>6</w:t>
      </w:r>
      <w:r>
        <w:rPr>
          <w:rFonts w:ascii="Arial" w:hAnsi="Arial" w:eastAsia="微软雅黑"/>
          <w:szCs w:val="22"/>
        </w:rPr>
        <w:t>.4.1 碳配额管理</w:t>
      </w:r>
      <w:r>
        <w:tab/>
      </w:r>
      <w:r>
        <w:fldChar w:fldCharType="begin"/>
      </w:r>
      <w:r>
        <w:instrText xml:space="preserve"> PAGEREF _Toc385 \h </w:instrText>
      </w:r>
      <w:r>
        <w:fldChar w:fldCharType="separate"/>
      </w:r>
      <w:r>
        <w:t>56</w:t>
      </w:r>
      <w:r>
        <w:fldChar w:fldCharType="end"/>
      </w:r>
      <w:r>
        <w:rPr>
          <w:rFonts w:hint="eastAsia" w:ascii="微软雅黑 Light" w:hAnsi="微软雅黑 Light" w:eastAsia="微软雅黑 Light" w:cs="微软雅黑 Light"/>
          <w:szCs w:val="21"/>
        </w:rPr>
        <w:fldChar w:fldCharType="end"/>
      </w:r>
    </w:p>
    <w:p w14:paraId="1B0FEE65">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_Toc8369 </w:instrText>
      </w:r>
      <w:r>
        <w:rPr>
          <w:rFonts w:hint="eastAsia" w:ascii="微软雅黑 Light" w:hAnsi="微软雅黑 Light" w:eastAsia="微软雅黑 Light" w:cs="微软雅黑 Light"/>
          <w:szCs w:val="21"/>
        </w:rPr>
        <w:fldChar w:fldCharType="separate"/>
      </w:r>
      <w:r>
        <w:rPr>
          <w:rFonts w:hint="eastAsia" w:eastAsia="微软雅黑"/>
          <w:szCs w:val="22"/>
          <w:lang w:val="en-US" w:eastAsia="zh-CN"/>
        </w:rPr>
        <w:t>6</w:t>
      </w:r>
      <w:r>
        <w:rPr>
          <w:rFonts w:ascii="Arial" w:hAnsi="Arial" w:eastAsia="微软雅黑"/>
          <w:szCs w:val="22"/>
        </w:rPr>
        <w:t>.4.2 碳交易决策支持</w:t>
      </w:r>
      <w:r>
        <w:tab/>
      </w:r>
      <w:r>
        <w:fldChar w:fldCharType="begin"/>
      </w:r>
      <w:r>
        <w:instrText xml:space="preserve"> PAGEREF _Toc8369 \h </w:instrText>
      </w:r>
      <w:r>
        <w:fldChar w:fldCharType="separate"/>
      </w:r>
      <w:r>
        <w:t>56</w:t>
      </w:r>
      <w:r>
        <w:fldChar w:fldCharType="end"/>
      </w:r>
      <w:r>
        <w:rPr>
          <w:rFonts w:hint="eastAsia" w:ascii="微软雅黑 Light" w:hAnsi="微软雅黑 Light" w:eastAsia="微软雅黑 Light" w:cs="微软雅黑 Light"/>
          <w:szCs w:val="21"/>
        </w:rPr>
        <w:fldChar w:fldCharType="end"/>
      </w:r>
    </w:p>
    <w:p w14:paraId="2DD6105B">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_Toc18803 </w:instrText>
      </w:r>
      <w:r>
        <w:rPr>
          <w:rFonts w:hint="eastAsia" w:ascii="微软雅黑 Light" w:hAnsi="微软雅黑 Light" w:eastAsia="微软雅黑 Light" w:cs="微软雅黑 Light"/>
          <w:szCs w:val="21"/>
        </w:rPr>
        <w:fldChar w:fldCharType="separate"/>
      </w:r>
      <w:r>
        <w:rPr>
          <w:rFonts w:hint="eastAsia" w:eastAsia="微软雅黑"/>
          <w:szCs w:val="22"/>
          <w:lang w:val="en-US" w:eastAsia="zh-CN"/>
        </w:rPr>
        <w:t>6</w:t>
      </w:r>
      <w:r>
        <w:rPr>
          <w:rFonts w:ascii="Arial" w:hAnsi="Arial" w:eastAsia="微软雅黑"/>
          <w:szCs w:val="22"/>
        </w:rPr>
        <w:t>.4.3 CCER碳资产开发管理</w:t>
      </w:r>
      <w:r>
        <w:tab/>
      </w:r>
      <w:r>
        <w:fldChar w:fldCharType="begin"/>
      </w:r>
      <w:r>
        <w:instrText xml:space="preserve"> PAGEREF _Toc18803 \h </w:instrText>
      </w:r>
      <w:r>
        <w:fldChar w:fldCharType="separate"/>
      </w:r>
      <w:r>
        <w:t>57</w:t>
      </w:r>
      <w:r>
        <w:fldChar w:fldCharType="end"/>
      </w:r>
      <w:r>
        <w:rPr>
          <w:rFonts w:hint="eastAsia" w:ascii="微软雅黑 Light" w:hAnsi="微软雅黑 Light" w:eastAsia="微软雅黑 Light" w:cs="微软雅黑 Light"/>
          <w:szCs w:val="21"/>
        </w:rPr>
        <w:fldChar w:fldCharType="end"/>
      </w:r>
    </w:p>
    <w:p w14:paraId="4D229B81">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_Toc13798 </w:instrText>
      </w:r>
      <w:r>
        <w:rPr>
          <w:rFonts w:hint="eastAsia" w:ascii="微软雅黑 Light" w:hAnsi="微软雅黑 Light" w:eastAsia="微软雅黑 Light" w:cs="微软雅黑 Light"/>
          <w:szCs w:val="21"/>
        </w:rPr>
        <w:fldChar w:fldCharType="separate"/>
      </w:r>
      <w:r>
        <w:rPr>
          <w:rFonts w:hint="eastAsia" w:eastAsia="微软雅黑"/>
          <w:szCs w:val="22"/>
          <w:lang w:val="en-US" w:eastAsia="zh-CN"/>
        </w:rPr>
        <w:t>6</w:t>
      </w:r>
      <w:r>
        <w:rPr>
          <w:rFonts w:ascii="Arial" w:hAnsi="Arial" w:eastAsia="微软雅黑"/>
          <w:szCs w:val="22"/>
        </w:rPr>
        <w:t>.4.4 绿色电力与绿证协同</w:t>
      </w:r>
      <w:r>
        <w:tab/>
      </w:r>
      <w:r>
        <w:fldChar w:fldCharType="begin"/>
      </w:r>
      <w:r>
        <w:instrText xml:space="preserve"> PAGEREF _Toc13798 \h </w:instrText>
      </w:r>
      <w:r>
        <w:fldChar w:fldCharType="separate"/>
      </w:r>
      <w:r>
        <w:t>57</w:t>
      </w:r>
      <w:r>
        <w:fldChar w:fldCharType="end"/>
      </w:r>
      <w:r>
        <w:rPr>
          <w:rFonts w:hint="eastAsia" w:ascii="微软雅黑 Light" w:hAnsi="微软雅黑 Light" w:eastAsia="微软雅黑 Light" w:cs="微软雅黑 Light"/>
          <w:szCs w:val="21"/>
        </w:rPr>
        <w:fldChar w:fldCharType="end"/>
      </w:r>
    </w:p>
    <w:p w14:paraId="06553756">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_Toc3927 </w:instrText>
      </w:r>
      <w:r>
        <w:rPr>
          <w:rFonts w:hint="eastAsia" w:ascii="微软雅黑 Light" w:hAnsi="微软雅黑 Light" w:eastAsia="微软雅黑 Light" w:cs="微软雅黑 Light"/>
          <w:szCs w:val="21"/>
        </w:rPr>
        <w:fldChar w:fldCharType="separate"/>
      </w:r>
      <w:r>
        <w:rPr>
          <w:rFonts w:hint="eastAsia" w:eastAsia="微软雅黑"/>
          <w:szCs w:val="22"/>
          <w:lang w:val="en-US" w:eastAsia="zh-CN"/>
        </w:rPr>
        <w:t>6</w:t>
      </w:r>
      <w:r>
        <w:rPr>
          <w:rFonts w:ascii="Arial" w:hAnsi="Arial" w:eastAsia="微软雅黑"/>
          <w:szCs w:val="22"/>
        </w:rPr>
        <w:t>.4.5 风险管理与合规</w:t>
      </w:r>
      <w:r>
        <w:tab/>
      </w:r>
      <w:r>
        <w:fldChar w:fldCharType="begin"/>
      </w:r>
      <w:r>
        <w:instrText xml:space="preserve"> PAGEREF _Toc3927 \h </w:instrText>
      </w:r>
      <w:r>
        <w:fldChar w:fldCharType="separate"/>
      </w:r>
      <w:r>
        <w:t>57</w:t>
      </w:r>
      <w:r>
        <w:fldChar w:fldCharType="end"/>
      </w:r>
      <w:r>
        <w:rPr>
          <w:rFonts w:hint="eastAsia" w:ascii="微软雅黑 Light" w:hAnsi="微软雅黑 Light" w:eastAsia="微软雅黑 Light" w:cs="微软雅黑 Light"/>
          <w:szCs w:val="21"/>
        </w:rPr>
        <w:fldChar w:fldCharType="end"/>
      </w:r>
    </w:p>
    <w:p w14:paraId="389C972C">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_Toc28122 </w:instrText>
      </w:r>
      <w:r>
        <w:rPr>
          <w:rFonts w:hint="eastAsia" w:ascii="微软雅黑 Light" w:hAnsi="微软雅黑 Light" w:eastAsia="微软雅黑 Light" w:cs="微软雅黑 Light"/>
          <w:szCs w:val="21"/>
        </w:rPr>
        <w:fldChar w:fldCharType="separate"/>
      </w:r>
      <w:r>
        <w:rPr>
          <w:rFonts w:hint="eastAsia" w:eastAsia="微软雅黑"/>
          <w:szCs w:val="24"/>
          <w:lang w:val="en-US" w:eastAsia="zh-CN"/>
        </w:rPr>
        <w:t>6.5 系统集成与数据安全</w:t>
      </w:r>
      <w:r>
        <w:tab/>
      </w:r>
      <w:r>
        <w:fldChar w:fldCharType="begin"/>
      </w:r>
      <w:r>
        <w:instrText xml:space="preserve"> PAGEREF _Toc28122 \h </w:instrText>
      </w:r>
      <w:r>
        <w:fldChar w:fldCharType="separate"/>
      </w:r>
      <w:r>
        <w:t>57</w:t>
      </w:r>
      <w:r>
        <w:fldChar w:fldCharType="end"/>
      </w:r>
      <w:r>
        <w:rPr>
          <w:rFonts w:hint="eastAsia" w:ascii="微软雅黑 Light" w:hAnsi="微软雅黑 Light" w:eastAsia="微软雅黑 Light" w:cs="微软雅黑 Light"/>
          <w:szCs w:val="21"/>
        </w:rPr>
        <w:fldChar w:fldCharType="end"/>
      </w:r>
    </w:p>
    <w:p w14:paraId="571F26FF">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_Toc31802 </w:instrText>
      </w:r>
      <w:r>
        <w:rPr>
          <w:rFonts w:hint="eastAsia" w:ascii="微软雅黑 Light" w:hAnsi="微软雅黑 Light" w:eastAsia="微软雅黑 Light" w:cs="微软雅黑 Light"/>
          <w:szCs w:val="21"/>
        </w:rPr>
        <w:fldChar w:fldCharType="separate"/>
      </w:r>
      <w:r>
        <w:rPr>
          <w:rFonts w:hint="eastAsia" w:eastAsia="微软雅黑"/>
          <w:szCs w:val="22"/>
          <w:lang w:val="en-US" w:eastAsia="zh-CN"/>
        </w:rPr>
        <w:t>6</w:t>
      </w:r>
      <w:r>
        <w:rPr>
          <w:rFonts w:ascii="Arial" w:hAnsi="Arial" w:eastAsia="微软雅黑"/>
          <w:szCs w:val="22"/>
        </w:rPr>
        <w:t>.5.1 数据集成与互联互通</w:t>
      </w:r>
      <w:r>
        <w:tab/>
      </w:r>
      <w:r>
        <w:fldChar w:fldCharType="begin"/>
      </w:r>
      <w:r>
        <w:instrText xml:space="preserve"> PAGEREF _Toc31802 \h </w:instrText>
      </w:r>
      <w:r>
        <w:fldChar w:fldCharType="separate"/>
      </w:r>
      <w:r>
        <w:t>57</w:t>
      </w:r>
      <w:r>
        <w:fldChar w:fldCharType="end"/>
      </w:r>
      <w:r>
        <w:rPr>
          <w:rFonts w:hint="eastAsia" w:ascii="微软雅黑 Light" w:hAnsi="微软雅黑 Light" w:eastAsia="微软雅黑 Light" w:cs="微软雅黑 Light"/>
          <w:szCs w:val="21"/>
        </w:rPr>
        <w:fldChar w:fldCharType="end"/>
      </w:r>
    </w:p>
    <w:p w14:paraId="467FFABE">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_Toc21520 </w:instrText>
      </w:r>
      <w:r>
        <w:rPr>
          <w:rFonts w:hint="eastAsia" w:ascii="微软雅黑 Light" w:hAnsi="微软雅黑 Light" w:eastAsia="微软雅黑 Light" w:cs="微软雅黑 Light"/>
          <w:szCs w:val="21"/>
        </w:rPr>
        <w:fldChar w:fldCharType="separate"/>
      </w:r>
      <w:r>
        <w:rPr>
          <w:rFonts w:hint="eastAsia" w:eastAsia="微软雅黑"/>
          <w:szCs w:val="22"/>
          <w:lang w:val="en-US" w:eastAsia="zh-CN"/>
        </w:rPr>
        <w:t>6</w:t>
      </w:r>
      <w:r>
        <w:rPr>
          <w:rFonts w:ascii="Arial" w:hAnsi="Arial" w:eastAsia="微软雅黑"/>
          <w:szCs w:val="22"/>
        </w:rPr>
        <w:t>.5.2 数据安全与隐私保护</w:t>
      </w:r>
      <w:r>
        <w:tab/>
      </w:r>
      <w:r>
        <w:fldChar w:fldCharType="begin"/>
      </w:r>
      <w:r>
        <w:instrText xml:space="preserve"> PAGEREF _Toc21520 \h </w:instrText>
      </w:r>
      <w:r>
        <w:fldChar w:fldCharType="separate"/>
      </w:r>
      <w:r>
        <w:t>58</w:t>
      </w:r>
      <w:r>
        <w:fldChar w:fldCharType="end"/>
      </w:r>
      <w:r>
        <w:rPr>
          <w:rFonts w:hint="eastAsia" w:ascii="微软雅黑 Light" w:hAnsi="微软雅黑 Light" w:eastAsia="微软雅黑 Light" w:cs="微软雅黑 Light"/>
          <w:szCs w:val="21"/>
        </w:rPr>
        <w:fldChar w:fldCharType="end"/>
      </w:r>
    </w:p>
    <w:p w14:paraId="723EDABB">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_Toc411 </w:instrText>
      </w:r>
      <w:r>
        <w:rPr>
          <w:rFonts w:hint="eastAsia" w:ascii="微软雅黑 Light" w:hAnsi="微软雅黑 Light" w:eastAsia="微软雅黑 Light" w:cs="微软雅黑 Light"/>
          <w:szCs w:val="21"/>
        </w:rPr>
        <w:fldChar w:fldCharType="separate"/>
      </w:r>
      <w:r>
        <w:rPr>
          <w:rFonts w:hint="eastAsia" w:eastAsia="微软雅黑"/>
          <w:szCs w:val="24"/>
          <w:lang w:val="en-US" w:eastAsia="zh-CN"/>
        </w:rPr>
        <w:t>6.6 实施路径与运营模式</w:t>
      </w:r>
      <w:r>
        <w:tab/>
      </w:r>
      <w:r>
        <w:fldChar w:fldCharType="begin"/>
      </w:r>
      <w:r>
        <w:instrText xml:space="preserve"> PAGEREF _Toc411 \h </w:instrText>
      </w:r>
      <w:r>
        <w:fldChar w:fldCharType="separate"/>
      </w:r>
      <w:r>
        <w:t>58</w:t>
      </w:r>
      <w:r>
        <w:fldChar w:fldCharType="end"/>
      </w:r>
      <w:r>
        <w:rPr>
          <w:rFonts w:hint="eastAsia" w:ascii="微软雅黑 Light" w:hAnsi="微软雅黑 Light" w:eastAsia="微软雅黑 Light" w:cs="微软雅黑 Light"/>
          <w:szCs w:val="21"/>
        </w:rPr>
        <w:fldChar w:fldCharType="end"/>
      </w:r>
    </w:p>
    <w:p w14:paraId="232E68A6">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_Toc15635 </w:instrText>
      </w:r>
      <w:r>
        <w:rPr>
          <w:rFonts w:hint="eastAsia" w:ascii="微软雅黑 Light" w:hAnsi="微软雅黑 Light" w:eastAsia="微软雅黑 Light" w:cs="微软雅黑 Light"/>
          <w:szCs w:val="21"/>
        </w:rPr>
        <w:fldChar w:fldCharType="separate"/>
      </w:r>
      <w:r>
        <w:rPr>
          <w:rFonts w:hint="eastAsia" w:eastAsia="微软雅黑"/>
          <w:szCs w:val="22"/>
          <w:lang w:val="en-US" w:eastAsia="zh-CN"/>
        </w:rPr>
        <w:t>6</w:t>
      </w:r>
      <w:r>
        <w:rPr>
          <w:rFonts w:ascii="Arial" w:hAnsi="Arial" w:eastAsia="微软雅黑"/>
          <w:szCs w:val="22"/>
        </w:rPr>
        <w:t>.6.1 分阶段实施</w:t>
      </w:r>
      <w:r>
        <w:tab/>
      </w:r>
      <w:r>
        <w:fldChar w:fldCharType="begin"/>
      </w:r>
      <w:r>
        <w:instrText xml:space="preserve"> PAGEREF _Toc15635 \h </w:instrText>
      </w:r>
      <w:r>
        <w:fldChar w:fldCharType="separate"/>
      </w:r>
      <w:r>
        <w:t>58</w:t>
      </w:r>
      <w:r>
        <w:fldChar w:fldCharType="end"/>
      </w:r>
      <w:r>
        <w:rPr>
          <w:rFonts w:hint="eastAsia" w:ascii="微软雅黑 Light" w:hAnsi="微软雅黑 Light" w:eastAsia="微软雅黑 Light" w:cs="微软雅黑 Light"/>
          <w:szCs w:val="21"/>
        </w:rPr>
        <w:fldChar w:fldCharType="end"/>
      </w:r>
    </w:p>
    <w:p w14:paraId="3612A2D1">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_Toc29882 </w:instrText>
      </w:r>
      <w:r>
        <w:rPr>
          <w:rFonts w:hint="eastAsia" w:ascii="微软雅黑 Light" w:hAnsi="微软雅黑 Light" w:eastAsia="微软雅黑 Light" w:cs="微软雅黑 Light"/>
          <w:szCs w:val="21"/>
        </w:rPr>
        <w:fldChar w:fldCharType="separate"/>
      </w:r>
      <w:r>
        <w:rPr>
          <w:rFonts w:hint="eastAsia" w:eastAsia="微软雅黑"/>
          <w:szCs w:val="22"/>
          <w:lang w:val="en-US" w:eastAsia="zh-CN"/>
        </w:rPr>
        <w:t>6</w:t>
      </w:r>
      <w:r>
        <w:rPr>
          <w:rFonts w:ascii="Arial" w:hAnsi="Arial" w:eastAsia="微软雅黑"/>
          <w:szCs w:val="22"/>
        </w:rPr>
        <w:t>.6.2 运营服务模式</w:t>
      </w:r>
      <w:r>
        <w:tab/>
      </w:r>
      <w:r>
        <w:fldChar w:fldCharType="begin"/>
      </w:r>
      <w:r>
        <w:instrText xml:space="preserve"> PAGEREF _Toc29882 \h </w:instrText>
      </w:r>
      <w:r>
        <w:fldChar w:fldCharType="separate"/>
      </w:r>
      <w:r>
        <w:t>59</w:t>
      </w:r>
      <w:r>
        <w:fldChar w:fldCharType="end"/>
      </w:r>
      <w:r>
        <w:rPr>
          <w:rFonts w:hint="eastAsia" w:ascii="微软雅黑 Light" w:hAnsi="微软雅黑 Light" w:eastAsia="微软雅黑 Light" w:cs="微软雅黑 Light"/>
          <w:szCs w:val="21"/>
        </w:rPr>
        <w:fldChar w:fldCharType="end"/>
      </w:r>
    </w:p>
    <w:p w14:paraId="3991CDB7">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_Toc31297 </w:instrText>
      </w:r>
      <w:r>
        <w:rPr>
          <w:rFonts w:hint="eastAsia" w:ascii="微软雅黑 Light" w:hAnsi="微软雅黑 Light" w:eastAsia="微软雅黑 Light" w:cs="微软雅黑 Light"/>
          <w:szCs w:val="21"/>
        </w:rPr>
        <w:fldChar w:fldCharType="separate"/>
      </w:r>
      <w:r>
        <w:rPr>
          <w:rFonts w:hint="eastAsia" w:eastAsia="微软雅黑"/>
          <w:szCs w:val="24"/>
          <w:lang w:val="en-US" w:eastAsia="zh-CN"/>
        </w:rPr>
        <w:t>6.7 投资估算与效益分析</w:t>
      </w:r>
      <w:r>
        <w:tab/>
      </w:r>
      <w:r>
        <w:fldChar w:fldCharType="begin"/>
      </w:r>
      <w:r>
        <w:instrText xml:space="preserve"> PAGEREF _Toc31297 \h </w:instrText>
      </w:r>
      <w:r>
        <w:fldChar w:fldCharType="separate"/>
      </w:r>
      <w:r>
        <w:t>59</w:t>
      </w:r>
      <w:r>
        <w:fldChar w:fldCharType="end"/>
      </w:r>
      <w:r>
        <w:rPr>
          <w:rFonts w:hint="eastAsia" w:ascii="微软雅黑 Light" w:hAnsi="微软雅黑 Light" w:eastAsia="微软雅黑 Light" w:cs="微软雅黑 Light"/>
          <w:szCs w:val="21"/>
        </w:rPr>
        <w:fldChar w:fldCharType="end"/>
      </w:r>
    </w:p>
    <w:p w14:paraId="2613FD97">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_Toc22890 </w:instrText>
      </w:r>
      <w:r>
        <w:rPr>
          <w:rFonts w:hint="eastAsia" w:ascii="微软雅黑 Light" w:hAnsi="微软雅黑 Light" w:eastAsia="微软雅黑 Light" w:cs="微软雅黑 Light"/>
          <w:szCs w:val="21"/>
        </w:rPr>
        <w:fldChar w:fldCharType="separate"/>
      </w:r>
      <w:r>
        <w:rPr>
          <w:rFonts w:hint="eastAsia" w:eastAsia="微软雅黑"/>
          <w:szCs w:val="24"/>
          <w:lang w:val="en-US" w:eastAsia="zh-CN"/>
        </w:rPr>
        <w:t>6.8 能碳管理结语与展望</w:t>
      </w:r>
      <w:r>
        <w:tab/>
      </w:r>
      <w:r>
        <w:fldChar w:fldCharType="begin"/>
      </w:r>
      <w:r>
        <w:instrText xml:space="preserve"> PAGEREF _Toc22890 \h </w:instrText>
      </w:r>
      <w:r>
        <w:fldChar w:fldCharType="separate"/>
      </w:r>
      <w:r>
        <w:t>60</w:t>
      </w:r>
      <w:r>
        <w:fldChar w:fldCharType="end"/>
      </w:r>
      <w:r>
        <w:rPr>
          <w:rFonts w:hint="eastAsia" w:ascii="微软雅黑 Light" w:hAnsi="微软雅黑 Light" w:eastAsia="微软雅黑 Light" w:cs="微软雅黑 Light"/>
          <w:szCs w:val="21"/>
        </w:rPr>
        <w:fldChar w:fldCharType="end"/>
      </w:r>
    </w:p>
    <w:p w14:paraId="5AF87BC7">
      <w:pPr>
        <w:pStyle w:val="22"/>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_Toc19750 </w:instrText>
      </w:r>
      <w:r>
        <w:rPr>
          <w:rFonts w:hint="eastAsia" w:ascii="微软雅黑 Light" w:hAnsi="微软雅黑 Light" w:eastAsia="微软雅黑 Light" w:cs="微软雅黑 Light"/>
          <w:szCs w:val="21"/>
        </w:rPr>
        <w:fldChar w:fldCharType="separate"/>
      </w:r>
      <w:r>
        <w:rPr>
          <w:rFonts w:hint="eastAsia"/>
        </w:rPr>
        <w:t>七、 工现场部分介绍</w:t>
      </w:r>
      <w:r>
        <w:tab/>
      </w:r>
      <w:r>
        <w:fldChar w:fldCharType="begin"/>
      </w:r>
      <w:r>
        <w:instrText xml:space="preserve"> PAGEREF _Toc19750 \h </w:instrText>
      </w:r>
      <w:r>
        <w:fldChar w:fldCharType="separate"/>
      </w:r>
      <w:r>
        <w:t>61</w:t>
      </w:r>
      <w:r>
        <w:fldChar w:fldCharType="end"/>
      </w:r>
      <w:r>
        <w:rPr>
          <w:rFonts w:hint="eastAsia" w:ascii="微软雅黑 Light" w:hAnsi="微软雅黑 Light" w:eastAsia="微软雅黑 Light" w:cs="微软雅黑 Light"/>
          <w:szCs w:val="21"/>
        </w:rPr>
        <w:fldChar w:fldCharType="end"/>
      </w:r>
    </w:p>
    <w:p w14:paraId="32BCD999">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_Toc23801 </w:instrText>
      </w:r>
      <w:r>
        <w:rPr>
          <w:rFonts w:hint="eastAsia" w:ascii="微软雅黑 Light" w:hAnsi="微软雅黑 Light" w:eastAsia="微软雅黑 Light" w:cs="微软雅黑 Light"/>
          <w:szCs w:val="21"/>
        </w:rPr>
        <w:fldChar w:fldCharType="separate"/>
      </w:r>
      <w:r>
        <w:rPr>
          <w:rFonts w:hint="eastAsia"/>
          <w:lang w:eastAsia="zh-CN"/>
        </w:rPr>
        <w:t>7.</w:t>
      </w:r>
      <w:r>
        <w:rPr>
          <w:rFonts w:hint="eastAsia"/>
        </w:rPr>
        <w:t>1 工程概况</w:t>
      </w:r>
      <w:r>
        <w:tab/>
      </w:r>
      <w:r>
        <w:fldChar w:fldCharType="begin"/>
      </w:r>
      <w:r>
        <w:instrText xml:space="preserve"> PAGEREF _Toc23801 \h </w:instrText>
      </w:r>
      <w:r>
        <w:fldChar w:fldCharType="separate"/>
      </w:r>
      <w:r>
        <w:t>61</w:t>
      </w:r>
      <w:r>
        <w:fldChar w:fldCharType="end"/>
      </w:r>
      <w:r>
        <w:rPr>
          <w:rFonts w:hint="eastAsia" w:ascii="微软雅黑 Light" w:hAnsi="微软雅黑 Light" w:eastAsia="微软雅黑 Light" w:cs="微软雅黑 Light"/>
          <w:szCs w:val="21"/>
        </w:rPr>
        <w:fldChar w:fldCharType="end"/>
      </w:r>
    </w:p>
    <w:p w14:paraId="100D9158">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_Toc20567 </w:instrText>
      </w:r>
      <w:r>
        <w:rPr>
          <w:rFonts w:hint="eastAsia" w:ascii="微软雅黑 Light" w:hAnsi="微软雅黑 Light" w:eastAsia="微软雅黑 Light" w:cs="微软雅黑 Light"/>
          <w:szCs w:val="21"/>
        </w:rPr>
        <w:fldChar w:fldCharType="separate"/>
      </w:r>
      <w:r>
        <w:rPr>
          <w:rFonts w:hint="eastAsia"/>
          <w:lang w:eastAsia="zh-CN"/>
        </w:rPr>
        <w:t>7.</w:t>
      </w:r>
      <w:r>
        <w:rPr>
          <w:rFonts w:hint="eastAsia"/>
        </w:rPr>
        <w:t>2 工程范围</w:t>
      </w:r>
      <w:r>
        <w:tab/>
      </w:r>
      <w:r>
        <w:fldChar w:fldCharType="begin"/>
      </w:r>
      <w:r>
        <w:instrText xml:space="preserve"> PAGEREF _Toc20567 \h </w:instrText>
      </w:r>
      <w:r>
        <w:fldChar w:fldCharType="separate"/>
      </w:r>
      <w:r>
        <w:t>61</w:t>
      </w:r>
      <w:r>
        <w:fldChar w:fldCharType="end"/>
      </w:r>
      <w:r>
        <w:rPr>
          <w:rFonts w:hint="eastAsia" w:ascii="微软雅黑 Light" w:hAnsi="微软雅黑 Light" w:eastAsia="微软雅黑 Light" w:cs="微软雅黑 Light"/>
          <w:szCs w:val="21"/>
        </w:rPr>
        <w:fldChar w:fldCharType="end"/>
      </w:r>
    </w:p>
    <w:p w14:paraId="108EB2AD">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_Toc8681 </w:instrText>
      </w:r>
      <w:r>
        <w:rPr>
          <w:rFonts w:hint="eastAsia" w:ascii="微软雅黑 Light" w:hAnsi="微软雅黑 Light" w:eastAsia="微软雅黑 Light" w:cs="微软雅黑 Light"/>
          <w:szCs w:val="21"/>
        </w:rPr>
        <w:fldChar w:fldCharType="separate"/>
      </w:r>
      <w:r>
        <w:rPr>
          <w:rFonts w:hint="eastAsia"/>
          <w:lang w:eastAsia="zh-CN"/>
        </w:rPr>
        <w:t>7.</w:t>
      </w:r>
      <w:r>
        <w:rPr>
          <w:rFonts w:hint="eastAsia"/>
        </w:rPr>
        <w:t>2.1监测范围</w:t>
      </w:r>
      <w:r>
        <w:tab/>
      </w:r>
      <w:r>
        <w:fldChar w:fldCharType="begin"/>
      </w:r>
      <w:r>
        <w:instrText xml:space="preserve"> PAGEREF _Toc8681 \h </w:instrText>
      </w:r>
      <w:r>
        <w:fldChar w:fldCharType="separate"/>
      </w:r>
      <w:r>
        <w:t>61</w:t>
      </w:r>
      <w:r>
        <w:fldChar w:fldCharType="end"/>
      </w:r>
      <w:r>
        <w:rPr>
          <w:rFonts w:hint="eastAsia" w:ascii="微软雅黑 Light" w:hAnsi="微软雅黑 Light" w:eastAsia="微软雅黑 Light" w:cs="微软雅黑 Light"/>
          <w:szCs w:val="21"/>
        </w:rPr>
        <w:fldChar w:fldCharType="end"/>
      </w:r>
    </w:p>
    <w:p w14:paraId="1CD4F502">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_Toc11684 </w:instrText>
      </w:r>
      <w:r>
        <w:rPr>
          <w:rFonts w:hint="eastAsia" w:ascii="微软雅黑 Light" w:hAnsi="微软雅黑 Light" w:eastAsia="微软雅黑 Light" w:cs="微软雅黑 Light"/>
          <w:szCs w:val="21"/>
        </w:rPr>
        <w:fldChar w:fldCharType="separate"/>
      </w:r>
      <w:r>
        <w:rPr>
          <w:rFonts w:hint="eastAsia"/>
          <w:lang w:eastAsia="zh-CN"/>
        </w:rPr>
        <w:t>7.</w:t>
      </w:r>
      <w:r>
        <w:rPr>
          <w:rFonts w:hint="eastAsia"/>
        </w:rPr>
        <w:t>3工程特点</w:t>
      </w:r>
      <w:r>
        <w:tab/>
      </w:r>
      <w:r>
        <w:fldChar w:fldCharType="begin"/>
      </w:r>
      <w:r>
        <w:instrText xml:space="preserve"> PAGEREF _Toc11684 \h </w:instrText>
      </w:r>
      <w:r>
        <w:fldChar w:fldCharType="separate"/>
      </w:r>
      <w:r>
        <w:t>61</w:t>
      </w:r>
      <w:r>
        <w:fldChar w:fldCharType="end"/>
      </w:r>
      <w:r>
        <w:rPr>
          <w:rFonts w:hint="eastAsia" w:ascii="微软雅黑 Light" w:hAnsi="微软雅黑 Light" w:eastAsia="微软雅黑 Light" w:cs="微软雅黑 Light"/>
          <w:szCs w:val="21"/>
        </w:rPr>
        <w:fldChar w:fldCharType="end"/>
      </w:r>
    </w:p>
    <w:p w14:paraId="6155E44A">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_Toc16078 </w:instrText>
      </w:r>
      <w:r>
        <w:rPr>
          <w:rFonts w:hint="eastAsia" w:ascii="微软雅黑 Light" w:hAnsi="微软雅黑 Light" w:eastAsia="微软雅黑 Light" w:cs="微软雅黑 Light"/>
          <w:szCs w:val="21"/>
        </w:rPr>
        <w:fldChar w:fldCharType="separate"/>
      </w:r>
      <w:r>
        <w:rPr>
          <w:rFonts w:hint="eastAsia"/>
          <w:lang w:eastAsia="zh-CN"/>
        </w:rPr>
        <w:t>7.</w:t>
      </w:r>
      <w:r>
        <w:rPr>
          <w:rFonts w:hint="eastAsia"/>
        </w:rPr>
        <w:t>4系统编制依据</w:t>
      </w:r>
      <w:r>
        <w:tab/>
      </w:r>
      <w:r>
        <w:fldChar w:fldCharType="begin"/>
      </w:r>
      <w:r>
        <w:instrText xml:space="preserve"> PAGEREF _Toc16078 \h </w:instrText>
      </w:r>
      <w:r>
        <w:fldChar w:fldCharType="separate"/>
      </w:r>
      <w:r>
        <w:t>61</w:t>
      </w:r>
      <w:r>
        <w:fldChar w:fldCharType="end"/>
      </w:r>
      <w:r>
        <w:rPr>
          <w:rFonts w:hint="eastAsia" w:ascii="微软雅黑 Light" w:hAnsi="微软雅黑 Light" w:eastAsia="微软雅黑 Light" w:cs="微软雅黑 Light"/>
          <w:szCs w:val="21"/>
        </w:rPr>
        <w:fldChar w:fldCharType="end"/>
      </w:r>
    </w:p>
    <w:p w14:paraId="0E9257B4">
      <w:pPr>
        <w:pStyle w:val="22"/>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_Toc3375 </w:instrText>
      </w:r>
      <w:r>
        <w:rPr>
          <w:rFonts w:hint="eastAsia" w:ascii="微软雅黑 Light" w:hAnsi="微软雅黑 Light" w:eastAsia="微软雅黑 Light" w:cs="微软雅黑 Light"/>
          <w:szCs w:val="21"/>
        </w:rPr>
        <w:fldChar w:fldCharType="separate"/>
      </w:r>
      <w:r>
        <w:rPr>
          <w:rFonts w:hint="eastAsia"/>
        </w:rPr>
        <w:t>八、 施工实施方案</w:t>
      </w:r>
      <w:r>
        <w:tab/>
      </w:r>
      <w:r>
        <w:fldChar w:fldCharType="begin"/>
      </w:r>
      <w:r>
        <w:instrText xml:space="preserve"> PAGEREF _Toc3375 \h </w:instrText>
      </w:r>
      <w:r>
        <w:fldChar w:fldCharType="separate"/>
      </w:r>
      <w:r>
        <w:t>63</w:t>
      </w:r>
      <w:r>
        <w:fldChar w:fldCharType="end"/>
      </w:r>
      <w:r>
        <w:rPr>
          <w:rFonts w:hint="eastAsia" w:ascii="微软雅黑 Light" w:hAnsi="微软雅黑 Light" w:eastAsia="微软雅黑 Light" w:cs="微软雅黑 Light"/>
          <w:szCs w:val="21"/>
        </w:rPr>
        <w:fldChar w:fldCharType="end"/>
      </w:r>
    </w:p>
    <w:p w14:paraId="0F24CC27">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_Toc32670 </w:instrText>
      </w:r>
      <w:r>
        <w:rPr>
          <w:rFonts w:hint="eastAsia" w:ascii="微软雅黑 Light" w:hAnsi="微软雅黑 Light" w:eastAsia="微软雅黑 Light" w:cs="微软雅黑 Light"/>
          <w:szCs w:val="21"/>
        </w:rPr>
        <w:fldChar w:fldCharType="separate"/>
      </w:r>
      <w:r>
        <w:rPr>
          <w:rFonts w:hint="eastAsia"/>
          <w:lang w:eastAsia="zh-CN"/>
        </w:rPr>
        <w:t>8.</w:t>
      </w:r>
      <w:r>
        <w:rPr>
          <w:rFonts w:hint="eastAsia"/>
        </w:rPr>
        <w:t>1 总体施工原则</w:t>
      </w:r>
      <w:r>
        <w:tab/>
      </w:r>
      <w:r>
        <w:fldChar w:fldCharType="begin"/>
      </w:r>
      <w:r>
        <w:instrText xml:space="preserve"> PAGEREF _Toc32670 \h </w:instrText>
      </w:r>
      <w:r>
        <w:fldChar w:fldCharType="separate"/>
      </w:r>
      <w:r>
        <w:t>63</w:t>
      </w:r>
      <w:r>
        <w:fldChar w:fldCharType="end"/>
      </w:r>
      <w:r>
        <w:rPr>
          <w:rFonts w:hint="eastAsia" w:ascii="微软雅黑 Light" w:hAnsi="微软雅黑 Light" w:eastAsia="微软雅黑 Light" w:cs="微软雅黑 Light"/>
          <w:szCs w:val="21"/>
        </w:rPr>
        <w:fldChar w:fldCharType="end"/>
      </w:r>
    </w:p>
    <w:p w14:paraId="07D04D37">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_Toc9736 </w:instrText>
      </w:r>
      <w:r>
        <w:rPr>
          <w:rFonts w:hint="eastAsia" w:ascii="微软雅黑 Light" w:hAnsi="微软雅黑 Light" w:eastAsia="微软雅黑 Light" w:cs="微软雅黑 Light"/>
          <w:szCs w:val="21"/>
        </w:rPr>
        <w:fldChar w:fldCharType="separate"/>
      </w:r>
      <w:r>
        <w:rPr>
          <w:rFonts w:hint="eastAsia"/>
          <w:lang w:eastAsia="zh-CN"/>
        </w:rPr>
        <w:t>8.</w:t>
      </w:r>
      <w:r>
        <w:rPr>
          <w:rFonts w:hint="eastAsia"/>
        </w:rPr>
        <w:t>2 工程施工方法</w:t>
      </w:r>
      <w:r>
        <w:tab/>
      </w:r>
      <w:r>
        <w:fldChar w:fldCharType="begin"/>
      </w:r>
      <w:r>
        <w:instrText xml:space="preserve"> PAGEREF _Toc9736 \h </w:instrText>
      </w:r>
      <w:r>
        <w:fldChar w:fldCharType="separate"/>
      </w:r>
      <w:r>
        <w:t>63</w:t>
      </w:r>
      <w:r>
        <w:fldChar w:fldCharType="end"/>
      </w:r>
      <w:r>
        <w:rPr>
          <w:rFonts w:hint="eastAsia" w:ascii="微软雅黑 Light" w:hAnsi="微软雅黑 Light" w:eastAsia="微软雅黑 Light" w:cs="微软雅黑 Light"/>
          <w:szCs w:val="21"/>
        </w:rPr>
        <w:fldChar w:fldCharType="end"/>
      </w:r>
    </w:p>
    <w:p w14:paraId="6CA92CD7">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_Toc13909 </w:instrText>
      </w:r>
      <w:r>
        <w:rPr>
          <w:rFonts w:hint="eastAsia" w:ascii="微软雅黑 Light" w:hAnsi="微软雅黑 Light" w:eastAsia="微软雅黑 Light" w:cs="微软雅黑 Light"/>
          <w:szCs w:val="21"/>
        </w:rPr>
        <w:fldChar w:fldCharType="separate"/>
      </w:r>
      <w:r>
        <w:rPr>
          <w:rFonts w:hint="eastAsia"/>
          <w:lang w:eastAsia="zh-CN"/>
        </w:rPr>
        <w:t>8.</w:t>
      </w:r>
      <w:r>
        <w:rPr>
          <w:rFonts w:hint="eastAsia"/>
        </w:rPr>
        <w:t>3 设备安装及施工要求</w:t>
      </w:r>
      <w:r>
        <w:tab/>
      </w:r>
      <w:r>
        <w:fldChar w:fldCharType="begin"/>
      </w:r>
      <w:r>
        <w:instrText xml:space="preserve"> PAGEREF _Toc13909 \h </w:instrText>
      </w:r>
      <w:r>
        <w:fldChar w:fldCharType="separate"/>
      </w:r>
      <w:r>
        <w:t>64</w:t>
      </w:r>
      <w:r>
        <w:fldChar w:fldCharType="end"/>
      </w:r>
      <w:r>
        <w:rPr>
          <w:rFonts w:hint="eastAsia" w:ascii="微软雅黑 Light" w:hAnsi="微软雅黑 Light" w:eastAsia="微软雅黑 Light" w:cs="微软雅黑 Light"/>
          <w:szCs w:val="21"/>
        </w:rPr>
        <w:fldChar w:fldCharType="end"/>
      </w:r>
    </w:p>
    <w:p w14:paraId="475B5413">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_Toc17600 </w:instrText>
      </w:r>
      <w:r>
        <w:rPr>
          <w:rFonts w:hint="eastAsia" w:ascii="微软雅黑 Light" w:hAnsi="微软雅黑 Light" w:eastAsia="微软雅黑 Light" w:cs="微软雅黑 Light"/>
          <w:szCs w:val="21"/>
        </w:rPr>
        <w:fldChar w:fldCharType="separate"/>
      </w:r>
      <w:r>
        <w:rPr>
          <w:rFonts w:hint="eastAsia"/>
          <w:lang w:eastAsia="zh-CN"/>
        </w:rPr>
        <w:t>8.</w:t>
      </w:r>
      <w:r>
        <w:rPr>
          <w:rFonts w:hint="eastAsia"/>
        </w:rPr>
        <w:t>3.1能耗采集设备的安装与施工要求</w:t>
      </w:r>
      <w:r>
        <w:tab/>
      </w:r>
      <w:r>
        <w:fldChar w:fldCharType="begin"/>
      </w:r>
      <w:r>
        <w:instrText xml:space="preserve"> PAGEREF _Toc17600 \h </w:instrText>
      </w:r>
      <w:r>
        <w:fldChar w:fldCharType="separate"/>
      </w:r>
      <w:r>
        <w:t>64</w:t>
      </w:r>
      <w:r>
        <w:fldChar w:fldCharType="end"/>
      </w:r>
      <w:r>
        <w:rPr>
          <w:rFonts w:hint="eastAsia" w:ascii="微软雅黑 Light" w:hAnsi="微软雅黑 Light" w:eastAsia="微软雅黑 Light" w:cs="微软雅黑 Light"/>
          <w:szCs w:val="21"/>
        </w:rPr>
        <w:fldChar w:fldCharType="end"/>
      </w:r>
    </w:p>
    <w:p w14:paraId="7415B64D">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_Toc15799 </w:instrText>
      </w:r>
      <w:r>
        <w:rPr>
          <w:rFonts w:hint="eastAsia" w:ascii="微软雅黑 Light" w:hAnsi="微软雅黑 Light" w:eastAsia="微软雅黑 Light" w:cs="微软雅黑 Light"/>
          <w:szCs w:val="21"/>
        </w:rPr>
        <w:fldChar w:fldCharType="separate"/>
      </w:r>
      <w:r>
        <w:rPr>
          <w:rFonts w:hint="eastAsia" w:ascii="微软雅黑 Light" w:hAnsi="微软雅黑 Light" w:eastAsia="微软雅黑 Light" w:cs="微软雅黑 Light"/>
          <w:szCs w:val="21"/>
          <w:lang w:eastAsia="zh-CN"/>
        </w:rPr>
        <w:t>8.</w:t>
      </w:r>
      <w:r>
        <w:rPr>
          <w:rFonts w:hint="eastAsia" w:ascii="微软雅黑 Light" w:hAnsi="微软雅黑 Light" w:eastAsia="微软雅黑 Light" w:cs="微软雅黑 Light"/>
          <w:szCs w:val="21"/>
        </w:rPr>
        <w:t>3.2电表现场安装实施方案与注意事项</w:t>
      </w:r>
      <w:r>
        <w:tab/>
      </w:r>
      <w:r>
        <w:fldChar w:fldCharType="begin"/>
      </w:r>
      <w:r>
        <w:instrText xml:space="preserve"> PAGEREF _Toc15799 \h </w:instrText>
      </w:r>
      <w:r>
        <w:fldChar w:fldCharType="separate"/>
      </w:r>
      <w:r>
        <w:t>66</w:t>
      </w:r>
      <w:r>
        <w:fldChar w:fldCharType="end"/>
      </w:r>
      <w:r>
        <w:rPr>
          <w:rFonts w:hint="eastAsia" w:ascii="微软雅黑 Light" w:hAnsi="微软雅黑 Light" w:eastAsia="微软雅黑 Light" w:cs="微软雅黑 Light"/>
          <w:szCs w:val="21"/>
        </w:rPr>
        <w:fldChar w:fldCharType="end"/>
      </w:r>
    </w:p>
    <w:p w14:paraId="5D388C0E">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_Toc32669 </w:instrText>
      </w:r>
      <w:r>
        <w:rPr>
          <w:rFonts w:hint="eastAsia" w:ascii="微软雅黑 Light" w:hAnsi="微软雅黑 Light" w:eastAsia="微软雅黑 Light" w:cs="微软雅黑 Light"/>
          <w:szCs w:val="21"/>
        </w:rPr>
        <w:fldChar w:fldCharType="separate"/>
      </w:r>
      <w:r>
        <w:rPr>
          <w:rFonts w:hint="eastAsia"/>
          <w:lang w:eastAsia="zh-CN"/>
        </w:rPr>
        <w:t>8.</w:t>
      </w:r>
      <w:r>
        <w:rPr>
          <w:rFonts w:hint="eastAsia"/>
        </w:rPr>
        <w:t>3.3配电柜、箱安装</w:t>
      </w:r>
      <w:r>
        <w:tab/>
      </w:r>
      <w:r>
        <w:fldChar w:fldCharType="begin"/>
      </w:r>
      <w:r>
        <w:instrText xml:space="preserve"> PAGEREF _Toc32669 \h </w:instrText>
      </w:r>
      <w:r>
        <w:fldChar w:fldCharType="separate"/>
      </w:r>
      <w:r>
        <w:t>67</w:t>
      </w:r>
      <w:r>
        <w:fldChar w:fldCharType="end"/>
      </w:r>
      <w:r>
        <w:rPr>
          <w:rFonts w:hint="eastAsia" w:ascii="微软雅黑 Light" w:hAnsi="微软雅黑 Light" w:eastAsia="微软雅黑 Light" w:cs="微软雅黑 Light"/>
          <w:szCs w:val="21"/>
        </w:rPr>
        <w:fldChar w:fldCharType="end"/>
      </w:r>
    </w:p>
    <w:p w14:paraId="40BA8E51">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_Toc10047 </w:instrText>
      </w:r>
      <w:r>
        <w:rPr>
          <w:rFonts w:hint="eastAsia" w:ascii="微软雅黑 Light" w:hAnsi="微软雅黑 Light" w:eastAsia="微软雅黑 Light" w:cs="微软雅黑 Light"/>
          <w:szCs w:val="21"/>
        </w:rPr>
        <w:fldChar w:fldCharType="separate"/>
      </w:r>
      <w:r>
        <w:rPr>
          <w:rFonts w:hint="eastAsia"/>
          <w:lang w:eastAsia="zh-CN"/>
        </w:rPr>
        <w:t>8.</w:t>
      </w:r>
      <w:r>
        <w:rPr>
          <w:rFonts w:hint="eastAsia"/>
        </w:rPr>
        <w:t>4 能耗软件施工进度安排</w:t>
      </w:r>
      <w:r>
        <w:tab/>
      </w:r>
      <w:r>
        <w:fldChar w:fldCharType="begin"/>
      </w:r>
      <w:r>
        <w:instrText xml:space="preserve"> PAGEREF _Toc10047 \h </w:instrText>
      </w:r>
      <w:r>
        <w:fldChar w:fldCharType="separate"/>
      </w:r>
      <w:r>
        <w:t>68</w:t>
      </w:r>
      <w:r>
        <w:fldChar w:fldCharType="end"/>
      </w:r>
      <w:r>
        <w:rPr>
          <w:rFonts w:hint="eastAsia" w:ascii="微软雅黑 Light" w:hAnsi="微软雅黑 Light" w:eastAsia="微软雅黑 Light" w:cs="微软雅黑 Light"/>
          <w:szCs w:val="21"/>
        </w:rPr>
        <w:fldChar w:fldCharType="end"/>
      </w:r>
    </w:p>
    <w:p w14:paraId="771F2833">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_Toc19786 </w:instrText>
      </w:r>
      <w:r>
        <w:rPr>
          <w:rFonts w:hint="eastAsia" w:ascii="微软雅黑 Light" w:hAnsi="微软雅黑 Light" w:eastAsia="微软雅黑 Light" w:cs="微软雅黑 Light"/>
          <w:szCs w:val="21"/>
        </w:rPr>
        <w:fldChar w:fldCharType="separate"/>
      </w:r>
      <w:r>
        <w:rPr>
          <w:rFonts w:hint="eastAsia"/>
          <w:lang w:eastAsia="zh-CN"/>
        </w:rPr>
        <w:t>8.</w:t>
      </w:r>
      <w:r>
        <w:rPr>
          <w:rFonts w:hint="eastAsia"/>
        </w:rPr>
        <w:t>5 进度保障措施</w:t>
      </w:r>
      <w:r>
        <w:tab/>
      </w:r>
      <w:r>
        <w:fldChar w:fldCharType="begin"/>
      </w:r>
      <w:r>
        <w:instrText xml:space="preserve"> PAGEREF _Toc19786 \h </w:instrText>
      </w:r>
      <w:r>
        <w:fldChar w:fldCharType="separate"/>
      </w:r>
      <w:r>
        <w:t>69</w:t>
      </w:r>
      <w:r>
        <w:fldChar w:fldCharType="end"/>
      </w:r>
      <w:r>
        <w:rPr>
          <w:rFonts w:hint="eastAsia" w:ascii="微软雅黑 Light" w:hAnsi="微软雅黑 Light" w:eastAsia="微软雅黑 Light" w:cs="微软雅黑 Light"/>
          <w:szCs w:val="21"/>
        </w:rPr>
        <w:fldChar w:fldCharType="end"/>
      </w:r>
    </w:p>
    <w:p w14:paraId="7FE0BA06">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_Toc5506 </w:instrText>
      </w:r>
      <w:r>
        <w:rPr>
          <w:rFonts w:hint="eastAsia" w:ascii="微软雅黑 Light" w:hAnsi="微软雅黑 Light" w:eastAsia="微软雅黑 Light" w:cs="微软雅黑 Light"/>
          <w:szCs w:val="21"/>
        </w:rPr>
        <w:fldChar w:fldCharType="separate"/>
      </w:r>
      <w:r>
        <w:rPr>
          <w:rFonts w:hint="eastAsia"/>
          <w:lang w:eastAsia="zh-CN"/>
        </w:rPr>
        <w:t>8.</w:t>
      </w:r>
      <w:r>
        <w:rPr>
          <w:rFonts w:hint="eastAsia"/>
        </w:rPr>
        <w:t>5.1实行目标管理，控制、协调及时</w:t>
      </w:r>
      <w:r>
        <w:tab/>
      </w:r>
      <w:r>
        <w:fldChar w:fldCharType="begin"/>
      </w:r>
      <w:r>
        <w:instrText xml:space="preserve"> PAGEREF _Toc5506 \h </w:instrText>
      </w:r>
      <w:r>
        <w:fldChar w:fldCharType="separate"/>
      </w:r>
      <w:r>
        <w:t>69</w:t>
      </w:r>
      <w:r>
        <w:fldChar w:fldCharType="end"/>
      </w:r>
      <w:r>
        <w:rPr>
          <w:rFonts w:hint="eastAsia" w:ascii="微软雅黑 Light" w:hAnsi="微软雅黑 Light" w:eastAsia="微软雅黑 Light" w:cs="微软雅黑 Light"/>
          <w:szCs w:val="21"/>
        </w:rPr>
        <w:fldChar w:fldCharType="end"/>
      </w:r>
    </w:p>
    <w:p w14:paraId="73746E97">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_Toc6720 </w:instrText>
      </w:r>
      <w:r>
        <w:rPr>
          <w:rFonts w:hint="eastAsia" w:ascii="微软雅黑 Light" w:hAnsi="微软雅黑 Light" w:eastAsia="微软雅黑 Light" w:cs="微软雅黑 Light"/>
          <w:szCs w:val="21"/>
        </w:rPr>
        <w:fldChar w:fldCharType="separate"/>
      </w:r>
      <w:r>
        <w:rPr>
          <w:rFonts w:hint="eastAsia"/>
          <w:lang w:eastAsia="zh-CN"/>
        </w:rPr>
        <w:t>8.</w:t>
      </w:r>
      <w:r>
        <w:rPr>
          <w:rFonts w:hint="eastAsia"/>
        </w:rPr>
        <w:t>5.2依靠科技进步，加快施工进度</w:t>
      </w:r>
      <w:r>
        <w:tab/>
      </w:r>
      <w:r>
        <w:fldChar w:fldCharType="begin"/>
      </w:r>
      <w:r>
        <w:instrText xml:space="preserve"> PAGEREF _Toc6720 \h </w:instrText>
      </w:r>
      <w:r>
        <w:fldChar w:fldCharType="separate"/>
      </w:r>
      <w:r>
        <w:t>69</w:t>
      </w:r>
      <w:r>
        <w:fldChar w:fldCharType="end"/>
      </w:r>
      <w:r>
        <w:rPr>
          <w:rFonts w:hint="eastAsia" w:ascii="微软雅黑 Light" w:hAnsi="微软雅黑 Light" w:eastAsia="微软雅黑 Light" w:cs="微软雅黑 Light"/>
          <w:szCs w:val="21"/>
        </w:rPr>
        <w:fldChar w:fldCharType="end"/>
      </w:r>
    </w:p>
    <w:p w14:paraId="55A6E177">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_Toc3714 </w:instrText>
      </w:r>
      <w:r>
        <w:rPr>
          <w:rFonts w:hint="eastAsia" w:ascii="微软雅黑 Light" w:hAnsi="微软雅黑 Light" w:eastAsia="微软雅黑 Light" w:cs="微软雅黑 Light"/>
          <w:szCs w:val="21"/>
        </w:rPr>
        <w:fldChar w:fldCharType="separate"/>
      </w:r>
      <w:r>
        <w:rPr>
          <w:rFonts w:hint="eastAsia"/>
          <w:lang w:eastAsia="zh-CN"/>
        </w:rPr>
        <w:t>8.</w:t>
      </w:r>
      <w:r>
        <w:rPr>
          <w:rFonts w:hint="eastAsia"/>
        </w:rPr>
        <w:t>5.3搞好后勤保障，做到优质服务</w:t>
      </w:r>
      <w:r>
        <w:tab/>
      </w:r>
      <w:r>
        <w:fldChar w:fldCharType="begin"/>
      </w:r>
      <w:r>
        <w:instrText xml:space="preserve"> PAGEREF _Toc3714 \h </w:instrText>
      </w:r>
      <w:r>
        <w:fldChar w:fldCharType="separate"/>
      </w:r>
      <w:r>
        <w:t>69</w:t>
      </w:r>
      <w:r>
        <w:fldChar w:fldCharType="end"/>
      </w:r>
      <w:r>
        <w:rPr>
          <w:rFonts w:hint="eastAsia" w:ascii="微软雅黑 Light" w:hAnsi="微软雅黑 Light" w:eastAsia="微软雅黑 Light" w:cs="微软雅黑 Light"/>
          <w:szCs w:val="21"/>
        </w:rPr>
        <w:fldChar w:fldCharType="end"/>
      </w:r>
    </w:p>
    <w:p w14:paraId="46D7CF2F">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_Toc6713 </w:instrText>
      </w:r>
      <w:r>
        <w:rPr>
          <w:rFonts w:hint="eastAsia" w:ascii="微软雅黑 Light" w:hAnsi="微软雅黑 Light" w:eastAsia="微软雅黑 Light" w:cs="微软雅黑 Light"/>
          <w:szCs w:val="21"/>
        </w:rPr>
        <w:fldChar w:fldCharType="separate"/>
      </w:r>
      <w:r>
        <w:rPr>
          <w:rFonts w:hint="eastAsia"/>
          <w:lang w:eastAsia="zh-CN"/>
        </w:rPr>
        <w:t>8.</w:t>
      </w:r>
      <w:r>
        <w:rPr>
          <w:rFonts w:hint="eastAsia"/>
        </w:rPr>
        <w:t>6 技术措施</w:t>
      </w:r>
      <w:r>
        <w:tab/>
      </w:r>
      <w:r>
        <w:fldChar w:fldCharType="begin"/>
      </w:r>
      <w:r>
        <w:instrText xml:space="preserve"> PAGEREF _Toc6713 \h </w:instrText>
      </w:r>
      <w:r>
        <w:fldChar w:fldCharType="separate"/>
      </w:r>
      <w:r>
        <w:t>69</w:t>
      </w:r>
      <w:r>
        <w:fldChar w:fldCharType="end"/>
      </w:r>
      <w:r>
        <w:rPr>
          <w:rFonts w:hint="eastAsia" w:ascii="微软雅黑 Light" w:hAnsi="微软雅黑 Light" w:eastAsia="微软雅黑 Light" w:cs="微软雅黑 Light"/>
          <w:szCs w:val="21"/>
        </w:rPr>
        <w:fldChar w:fldCharType="end"/>
      </w:r>
    </w:p>
    <w:p w14:paraId="42090F4E">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_Toc11722 </w:instrText>
      </w:r>
      <w:r>
        <w:rPr>
          <w:rFonts w:hint="eastAsia" w:ascii="微软雅黑 Light" w:hAnsi="微软雅黑 Light" w:eastAsia="微软雅黑 Light" w:cs="微软雅黑 Light"/>
          <w:szCs w:val="21"/>
        </w:rPr>
        <w:fldChar w:fldCharType="separate"/>
      </w:r>
      <w:r>
        <w:rPr>
          <w:rFonts w:hint="eastAsia"/>
          <w:lang w:eastAsia="zh-CN"/>
        </w:rPr>
        <w:t>8.</w:t>
      </w:r>
      <w:r>
        <w:rPr>
          <w:rFonts w:hint="eastAsia"/>
        </w:rPr>
        <w:t>6.1防范</w:t>
      </w:r>
      <w:r>
        <w:tab/>
      </w:r>
      <w:r>
        <w:fldChar w:fldCharType="begin"/>
      </w:r>
      <w:r>
        <w:instrText xml:space="preserve"> PAGEREF _Toc11722 \h </w:instrText>
      </w:r>
      <w:r>
        <w:fldChar w:fldCharType="separate"/>
      </w:r>
      <w:r>
        <w:t>69</w:t>
      </w:r>
      <w:r>
        <w:fldChar w:fldCharType="end"/>
      </w:r>
      <w:r>
        <w:rPr>
          <w:rFonts w:hint="eastAsia" w:ascii="微软雅黑 Light" w:hAnsi="微软雅黑 Light" w:eastAsia="微软雅黑 Light" w:cs="微软雅黑 Light"/>
          <w:szCs w:val="21"/>
        </w:rPr>
        <w:fldChar w:fldCharType="end"/>
      </w:r>
    </w:p>
    <w:p w14:paraId="03D4BC47">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_Toc15975 </w:instrText>
      </w:r>
      <w:r>
        <w:rPr>
          <w:rFonts w:hint="eastAsia" w:ascii="微软雅黑 Light" w:hAnsi="微软雅黑 Light" w:eastAsia="微软雅黑 Light" w:cs="微软雅黑 Light"/>
          <w:szCs w:val="21"/>
        </w:rPr>
        <w:fldChar w:fldCharType="separate"/>
      </w:r>
      <w:r>
        <w:rPr>
          <w:rFonts w:hint="eastAsia"/>
          <w:lang w:eastAsia="zh-CN"/>
        </w:rPr>
        <w:t>8.</w:t>
      </w:r>
      <w:r>
        <w:rPr>
          <w:rFonts w:hint="eastAsia"/>
        </w:rPr>
        <w:t>6.2技术要求</w:t>
      </w:r>
      <w:r>
        <w:tab/>
      </w:r>
      <w:r>
        <w:fldChar w:fldCharType="begin"/>
      </w:r>
      <w:r>
        <w:instrText xml:space="preserve"> PAGEREF _Toc15975 \h </w:instrText>
      </w:r>
      <w:r>
        <w:fldChar w:fldCharType="separate"/>
      </w:r>
      <w:r>
        <w:t>70</w:t>
      </w:r>
      <w:r>
        <w:fldChar w:fldCharType="end"/>
      </w:r>
      <w:r>
        <w:rPr>
          <w:rFonts w:hint="eastAsia" w:ascii="微软雅黑 Light" w:hAnsi="微软雅黑 Light" w:eastAsia="微软雅黑 Light" w:cs="微软雅黑 Light"/>
          <w:szCs w:val="21"/>
        </w:rPr>
        <w:fldChar w:fldCharType="end"/>
      </w:r>
    </w:p>
    <w:p w14:paraId="0654D8FA">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_Toc7247 </w:instrText>
      </w:r>
      <w:r>
        <w:rPr>
          <w:rFonts w:hint="eastAsia" w:ascii="微软雅黑 Light" w:hAnsi="微软雅黑 Light" w:eastAsia="微软雅黑 Light" w:cs="微软雅黑 Light"/>
          <w:szCs w:val="21"/>
        </w:rPr>
        <w:fldChar w:fldCharType="separate"/>
      </w:r>
      <w:r>
        <w:rPr>
          <w:rFonts w:hint="eastAsia"/>
          <w:lang w:eastAsia="zh-CN"/>
        </w:rPr>
        <w:t>8.</w:t>
      </w:r>
      <w:r>
        <w:rPr>
          <w:rFonts w:hint="eastAsia"/>
        </w:rPr>
        <w:t>6.3系统调试</w:t>
      </w:r>
      <w:r>
        <w:tab/>
      </w:r>
      <w:r>
        <w:fldChar w:fldCharType="begin"/>
      </w:r>
      <w:r>
        <w:instrText xml:space="preserve"> PAGEREF _Toc7247 \h </w:instrText>
      </w:r>
      <w:r>
        <w:fldChar w:fldCharType="separate"/>
      </w:r>
      <w:r>
        <w:t>71</w:t>
      </w:r>
      <w:r>
        <w:fldChar w:fldCharType="end"/>
      </w:r>
      <w:r>
        <w:rPr>
          <w:rFonts w:hint="eastAsia" w:ascii="微软雅黑 Light" w:hAnsi="微软雅黑 Light" w:eastAsia="微软雅黑 Light" w:cs="微软雅黑 Light"/>
          <w:szCs w:val="21"/>
        </w:rPr>
        <w:fldChar w:fldCharType="end"/>
      </w:r>
    </w:p>
    <w:p w14:paraId="2509F7EC">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_Toc15948 </w:instrText>
      </w:r>
      <w:r>
        <w:rPr>
          <w:rFonts w:hint="eastAsia" w:ascii="微软雅黑 Light" w:hAnsi="微软雅黑 Light" w:eastAsia="微软雅黑 Light" w:cs="微软雅黑 Light"/>
          <w:szCs w:val="21"/>
        </w:rPr>
        <w:fldChar w:fldCharType="separate"/>
      </w:r>
      <w:r>
        <w:rPr>
          <w:rFonts w:hint="eastAsia"/>
          <w:lang w:eastAsia="zh-CN"/>
        </w:rPr>
        <w:t>8.</w:t>
      </w:r>
      <w:r>
        <w:rPr>
          <w:rFonts w:hint="eastAsia"/>
        </w:rPr>
        <w:t>6.4分类分项调试</w:t>
      </w:r>
      <w:r>
        <w:tab/>
      </w:r>
      <w:r>
        <w:fldChar w:fldCharType="begin"/>
      </w:r>
      <w:r>
        <w:instrText xml:space="preserve"> PAGEREF _Toc15948 \h </w:instrText>
      </w:r>
      <w:r>
        <w:fldChar w:fldCharType="separate"/>
      </w:r>
      <w:r>
        <w:t>72</w:t>
      </w:r>
      <w:r>
        <w:fldChar w:fldCharType="end"/>
      </w:r>
      <w:r>
        <w:rPr>
          <w:rFonts w:hint="eastAsia" w:ascii="微软雅黑 Light" w:hAnsi="微软雅黑 Light" w:eastAsia="微软雅黑 Light" w:cs="微软雅黑 Light"/>
          <w:szCs w:val="21"/>
        </w:rPr>
        <w:fldChar w:fldCharType="end"/>
      </w:r>
    </w:p>
    <w:p w14:paraId="24AA00DC">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_Toc9316 </w:instrText>
      </w:r>
      <w:r>
        <w:rPr>
          <w:rFonts w:hint="eastAsia" w:ascii="微软雅黑 Light" w:hAnsi="微软雅黑 Light" w:eastAsia="微软雅黑 Light" w:cs="微软雅黑 Light"/>
          <w:szCs w:val="21"/>
        </w:rPr>
        <w:fldChar w:fldCharType="separate"/>
      </w:r>
      <w:r>
        <w:rPr>
          <w:rFonts w:hint="eastAsia"/>
          <w:lang w:eastAsia="zh-CN"/>
        </w:rPr>
        <w:t>8.</w:t>
      </w:r>
      <w:r>
        <w:rPr>
          <w:rFonts w:hint="eastAsia"/>
        </w:rPr>
        <w:t>6.5数据有效性核对</w:t>
      </w:r>
      <w:r>
        <w:tab/>
      </w:r>
      <w:r>
        <w:fldChar w:fldCharType="begin"/>
      </w:r>
      <w:r>
        <w:instrText xml:space="preserve"> PAGEREF _Toc9316 \h </w:instrText>
      </w:r>
      <w:r>
        <w:fldChar w:fldCharType="separate"/>
      </w:r>
      <w:r>
        <w:t>73</w:t>
      </w:r>
      <w:r>
        <w:fldChar w:fldCharType="end"/>
      </w:r>
      <w:r>
        <w:rPr>
          <w:rFonts w:hint="eastAsia" w:ascii="微软雅黑 Light" w:hAnsi="微软雅黑 Light" w:eastAsia="微软雅黑 Light" w:cs="微软雅黑 Light"/>
          <w:szCs w:val="21"/>
        </w:rPr>
        <w:fldChar w:fldCharType="end"/>
      </w:r>
    </w:p>
    <w:p w14:paraId="11DC67DD">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_Toc20578 </w:instrText>
      </w:r>
      <w:r>
        <w:rPr>
          <w:rFonts w:hint="eastAsia" w:ascii="微软雅黑 Light" w:hAnsi="微软雅黑 Light" w:eastAsia="微软雅黑 Light" w:cs="微软雅黑 Light"/>
          <w:szCs w:val="21"/>
        </w:rPr>
        <w:fldChar w:fldCharType="separate"/>
      </w:r>
      <w:r>
        <w:rPr>
          <w:rFonts w:hint="eastAsia"/>
          <w:lang w:eastAsia="zh-CN"/>
        </w:rPr>
        <w:t>8.</w:t>
      </w:r>
      <w:r>
        <w:rPr>
          <w:rFonts w:hint="eastAsia"/>
        </w:rPr>
        <w:t>6.6成品保护措施</w:t>
      </w:r>
      <w:r>
        <w:tab/>
      </w:r>
      <w:r>
        <w:fldChar w:fldCharType="begin"/>
      </w:r>
      <w:r>
        <w:instrText xml:space="preserve"> PAGEREF _Toc20578 \h </w:instrText>
      </w:r>
      <w:r>
        <w:fldChar w:fldCharType="separate"/>
      </w:r>
      <w:r>
        <w:t>73</w:t>
      </w:r>
      <w:r>
        <w:fldChar w:fldCharType="end"/>
      </w:r>
      <w:r>
        <w:rPr>
          <w:rFonts w:hint="eastAsia" w:ascii="微软雅黑 Light" w:hAnsi="微软雅黑 Light" w:eastAsia="微软雅黑 Light" w:cs="微软雅黑 Light"/>
          <w:szCs w:val="21"/>
        </w:rPr>
        <w:fldChar w:fldCharType="end"/>
      </w:r>
    </w:p>
    <w:p w14:paraId="4CD665C3">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_Toc10821 </w:instrText>
      </w:r>
      <w:r>
        <w:rPr>
          <w:rFonts w:hint="eastAsia" w:ascii="微软雅黑 Light" w:hAnsi="微软雅黑 Light" w:eastAsia="微软雅黑 Light" w:cs="微软雅黑 Light"/>
          <w:szCs w:val="21"/>
        </w:rPr>
        <w:fldChar w:fldCharType="separate"/>
      </w:r>
      <w:r>
        <w:rPr>
          <w:rFonts w:hint="eastAsia"/>
          <w:lang w:eastAsia="zh-CN"/>
        </w:rPr>
        <w:t>8.</w:t>
      </w:r>
      <w:r>
        <w:rPr>
          <w:rFonts w:hint="eastAsia"/>
        </w:rPr>
        <w:t>6.7安全措施</w:t>
      </w:r>
      <w:r>
        <w:tab/>
      </w:r>
      <w:r>
        <w:fldChar w:fldCharType="begin"/>
      </w:r>
      <w:r>
        <w:instrText xml:space="preserve"> PAGEREF _Toc10821 \h </w:instrText>
      </w:r>
      <w:r>
        <w:fldChar w:fldCharType="separate"/>
      </w:r>
      <w:r>
        <w:t>74</w:t>
      </w:r>
      <w:r>
        <w:fldChar w:fldCharType="end"/>
      </w:r>
      <w:r>
        <w:rPr>
          <w:rFonts w:hint="eastAsia" w:ascii="微软雅黑 Light" w:hAnsi="微软雅黑 Light" w:eastAsia="微软雅黑 Light" w:cs="微软雅黑 Light"/>
          <w:szCs w:val="21"/>
        </w:rPr>
        <w:fldChar w:fldCharType="end"/>
      </w:r>
    </w:p>
    <w:p w14:paraId="1C363694">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_Toc22774 </w:instrText>
      </w:r>
      <w:r>
        <w:rPr>
          <w:rFonts w:hint="eastAsia" w:ascii="微软雅黑 Light" w:hAnsi="微软雅黑 Light" w:eastAsia="微软雅黑 Light" w:cs="微软雅黑 Light"/>
          <w:szCs w:val="21"/>
        </w:rPr>
        <w:fldChar w:fldCharType="separate"/>
      </w:r>
      <w:r>
        <w:rPr>
          <w:rFonts w:hint="eastAsia"/>
          <w:lang w:eastAsia="zh-CN"/>
        </w:rPr>
        <w:t>8.</w:t>
      </w:r>
      <w:r>
        <w:rPr>
          <w:rFonts w:hint="eastAsia"/>
        </w:rPr>
        <w:t>6.8安全文明施工管理措施</w:t>
      </w:r>
      <w:r>
        <w:tab/>
      </w:r>
      <w:r>
        <w:fldChar w:fldCharType="begin"/>
      </w:r>
      <w:r>
        <w:instrText xml:space="preserve"> PAGEREF _Toc22774 \h </w:instrText>
      </w:r>
      <w:r>
        <w:fldChar w:fldCharType="separate"/>
      </w:r>
      <w:r>
        <w:t>75</w:t>
      </w:r>
      <w:r>
        <w:fldChar w:fldCharType="end"/>
      </w:r>
      <w:r>
        <w:rPr>
          <w:rFonts w:hint="eastAsia" w:ascii="微软雅黑 Light" w:hAnsi="微软雅黑 Light" w:eastAsia="微软雅黑 Light" w:cs="微软雅黑 Light"/>
          <w:szCs w:val="21"/>
        </w:rPr>
        <w:fldChar w:fldCharType="end"/>
      </w:r>
    </w:p>
    <w:p w14:paraId="5160D1F5">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_Toc22021 </w:instrText>
      </w:r>
      <w:r>
        <w:rPr>
          <w:rFonts w:hint="eastAsia" w:ascii="微软雅黑 Light" w:hAnsi="微软雅黑 Light" w:eastAsia="微软雅黑 Light" w:cs="微软雅黑 Light"/>
          <w:szCs w:val="21"/>
        </w:rPr>
        <w:fldChar w:fldCharType="separate"/>
      </w:r>
      <w:r>
        <w:rPr>
          <w:rFonts w:hint="eastAsia"/>
          <w:lang w:eastAsia="zh-CN"/>
        </w:rPr>
        <w:t>8.</w:t>
      </w:r>
      <w:r>
        <w:rPr>
          <w:rFonts w:hint="eastAsia"/>
        </w:rPr>
        <w:t>7 施工质量控制</w:t>
      </w:r>
      <w:r>
        <w:tab/>
      </w:r>
      <w:r>
        <w:fldChar w:fldCharType="begin"/>
      </w:r>
      <w:r>
        <w:instrText xml:space="preserve"> PAGEREF _Toc22021 \h </w:instrText>
      </w:r>
      <w:r>
        <w:fldChar w:fldCharType="separate"/>
      </w:r>
      <w:r>
        <w:t>76</w:t>
      </w:r>
      <w:r>
        <w:fldChar w:fldCharType="end"/>
      </w:r>
      <w:r>
        <w:rPr>
          <w:rFonts w:hint="eastAsia" w:ascii="微软雅黑 Light" w:hAnsi="微软雅黑 Light" w:eastAsia="微软雅黑 Light" w:cs="微软雅黑 Light"/>
          <w:szCs w:val="21"/>
        </w:rPr>
        <w:fldChar w:fldCharType="end"/>
      </w:r>
    </w:p>
    <w:p w14:paraId="6AAD43F9">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_Toc18657 </w:instrText>
      </w:r>
      <w:r>
        <w:rPr>
          <w:rFonts w:hint="eastAsia" w:ascii="微软雅黑 Light" w:hAnsi="微软雅黑 Light" w:eastAsia="微软雅黑 Light" w:cs="微软雅黑 Light"/>
          <w:szCs w:val="21"/>
        </w:rPr>
        <w:fldChar w:fldCharType="separate"/>
      </w:r>
      <w:r>
        <w:rPr>
          <w:rFonts w:hint="eastAsia"/>
          <w:lang w:eastAsia="zh-CN"/>
        </w:rPr>
        <w:t>8.</w:t>
      </w:r>
      <w:r>
        <w:rPr>
          <w:rFonts w:hint="eastAsia"/>
        </w:rPr>
        <w:t>7.1质量保证机构，强化工程质量管理</w:t>
      </w:r>
      <w:r>
        <w:tab/>
      </w:r>
      <w:r>
        <w:fldChar w:fldCharType="begin"/>
      </w:r>
      <w:r>
        <w:instrText xml:space="preserve"> PAGEREF _Toc18657 \h </w:instrText>
      </w:r>
      <w:r>
        <w:fldChar w:fldCharType="separate"/>
      </w:r>
      <w:r>
        <w:t>76</w:t>
      </w:r>
      <w:r>
        <w:fldChar w:fldCharType="end"/>
      </w:r>
      <w:r>
        <w:rPr>
          <w:rFonts w:hint="eastAsia" w:ascii="微软雅黑 Light" w:hAnsi="微软雅黑 Light" w:eastAsia="微软雅黑 Light" w:cs="微软雅黑 Light"/>
          <w:szCs w:val="21"/>
        </w:rPr>
        <w:fldChar w:fldCharType="end"/>
      </w:r>
    </w:p>
    <w:p w14:paraId="7E28BF1D">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_Toc25060 </w:instrText>
      </w:r>
      <w:r>
        <w:rPr>
          <w:rFonts w:hint="eastAsia" w:ascii="微软雅黑 Light" w:hAnsi="微软雅黑 Light" w:eastAsia="微软雅黑 Light" w:cs="微软雅黑 Light"/>
          <w:szCs w:val="21"/>
        </w:rPr>
        <w:fldChar w:fldCharType="separate"/>
      </w:r>
      <w:r>
        <w:rPr>
          <w:rFonts w:hint="eastAsia"/>
          <w:lang w:val="en-US" w:eastAsia="zh-CN"/>
        </w:rPr>
        <w:t>8</w:t>
      </w:r>
      <w:r>
        <w:rPr>
          <w:rFonts w:hint="eastAsia"/>
        </w:rPr>
        <w:t>.7.2项目部质量管理工作，从提高人员素质人手</w:t>
      </w:r>
      <w:r>
        <w:tab/>
      </w:r>
      <w:r>
        <w:fldChar w:fldCharType="begin"/>
      </w:r>
      <w:r>
        <w:instrText xml:space="preserve"> PAGEREF _Toc25060 \h </w:instrText>
      </w:r>
      <w:r>
        <w:fldChar w:fldCharType="separate"/>
      </w:r>
      <w:r>
        <w:t>76</w:t>
      </w:r>
      <w:r>
        <w:fldChar w:fldCharType="end"/>
      </w:r>
      <w:r>
        <w:rPr>
          <w:rFonts w:hint="eastAsia" w:ascii="微软雅黑 Light" w:hAnsi="微软雅黑 Light" w:eastAsia="微软雅黑 Light" w:cs="微软雅黑 Light"/>
          <w:szCs w:val="21"/>
        </w:rPr>
        <w:fldChar w:fldCharType="end"/>
      </w:r>
    </w:p>
    <w:p w14:paraId="57CEAC28">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_Toc29445 </w:instrText>
      </w:r>
      <w:r>
        <w:rPr>
          <w:rFonts w:hint="eastAsia" w:ascii="微软雅黑 Light" w:hAnsi="微软雅黑 Light" w:eastAsia="微软雅黑 Light" w:cs="微软雅黑 Light"/>
          <w:szCs w:val="21"/>
        </w:rPr>
        <w:fldChar w:fldCharType="separate"/>
      </w:r>
      <w:r>
        <w:rPr>
          <w:rFonts w:hint="eastAsia"/>
          <w:lang w:val="en-US" w:eastAsia="zh-CN"/>
        </w:rPr>
        <w:t>8</w:t>
      </w:r>
      <w:r>
        <w:rPr>
          <w:rFonts w:hint="eastAsia"/>
        </w:rPr>
        <w:t>.7.3严把物料进货关，确保施工机具的正常使用</w:t>
      </w:r>
      <w:r>
        <w:tab/>
      </w:r>
      <w:r>
        <w:fldChar w:fldCharType="begin"/>
      </w:r>
      <w:r>
        <w:instrText xml:space="preserve"> PAGEREF _Toc29445 \h </w:instrText>
      </w:r>
      <w:r>
        <w:fldChar w:fldCharType="separate"/>
      </w:r>
      <w:r>
        <w:t>76</w:t>
      </w:r>
      <w:r>
        <w:fldChar w:fldCharType="end"/>
      </w:r>
      <w:r>
        <w:rPr>
          <w:rFonts w:hint="eastAsia" w:ascii="微软雅黑 Light" w:hAnsi="微软雅黑 Light" w:eastAsia="微软雅黑 Light" w:cs="微软雅黑 Light"/>
          <w:szCs w:val="21"/>
        </w:rPr>
        <w:fldChar w:fldCharType="end"/>
      </w:r>
    </w:p>
    <w:p w14:paraId="1D9BD7BE">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_Toc22615 </w:instrText>
      </w:r>
      <w:r>
        <w:rPr>
          <w:rFonts w:hint="eastAsia" w:ascii="微软雅黑 Light" w:hAnsi="微软雅黑 Light" w:eastAsia="微软雅黑 Light" w:cs="微软雅黑 Light"/>
          <w:szCs w:val="21"/>
        </w:rPr>
        <w:fldChar w:fldCharType="separate"/>
      </w:r>
      <w:r>
        <w:rPr>
          <w:rFonts w:hint="eastAsia"/>
          <w:lang w:val="en-US" w:eastAsia="zh-CN"/>
        </w:rPr>
        <w:t>8</w:t>
      </w:r>
      <w:r>
        <w:rPr>
          <w:rFonts w:hint="eastAsia"/>
        </w:rPr>
        <w:t>.7.4优化施工方法，达到预防为主的目的</w:t>
      </w:r>
      <w:r>
        <w:tab/>
      </w:r>
      <w:r>
        <w:fldChar w:fldCharType="begin"/>
      </w:r>
      <w:r>
        <w:instrText xml:space="preserve"> PAGEREF _Toc22615 \h </w:instrText>
      </w:r>
      <w:r>
        <w:fldChar w:fldCharType="separate"/>
      </w:r>
      <w:r>
        <w:t>76</w:t>
      </w:r>
      <w:r>
        <w:fldChar w:fldCharType="end"/>
      </w:r>
      <w:r>
        <w:rPr>
          <w:rFonts w:hint="eastAsia" w:ascii="微软雅黑 Light" w:hAnsi="微软雅黑 Light" w:eastAsia="微软雅黑 Light" w:cs="微软雅黑 Light"/>
          <w:szCs w:val="21"/>
        </w:rPr>
        <w:fldChar w:fldCharType="end"/>
      </w:r>
    </w:p>
    <w:p w14:paraId="1CFCCD69">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_Toc5815 </w:instrText>
      </w:r>
      <w:r>
        <w:rPr>
          <w:rFonts w:hint="eastAsia" w:ascii="微软雅黑 Light" w:hAnsi="微软雅黑 Light" w:eastAsia="微软雅黑 Light" w:cs="微软雅黑 Light"/>
          <w:szCs w:val="21"/>
        </w:rPr>
        <w:fldChar w:fldCharType="separate"/>
      </w:r>
      <w:r>
        <w:rPr>
          <w:rFonts w:hint="eastAsia"/>
          <w:lang w:val="en-US" w:eastAsia="zh-CN"/>
        </w:rPr>
        <w:t>8</w:t>
      </w:r>
      <w:r>
        <w:rPr>
          <w:rFonts w:hint="eastAsia"/>
        </w:rPr>
        <w:t>.7.5加强工序质量检查，做好成品保护工作</w:t>
      </w:r>
      <w:r>
        <w:tab/>
      </w:r>
      <w:r>
        <w:fldChar w:fldCharType="begin"/>
      </w:r>
      <w:r>
        <w:instrText xml:space="preserve"> PAGEREF _Toc5815 \h </w:instrText>
      </w:r>
      <w:r>
        <w:fldChar w:fldCharType="separate"/>
      </w:r>
      <w:r>
        <w:t>77</w:t>
      </w:r>
      <w:r>
        <w:fldChar w:fldCharType="end"/>
      </w:r>
      <w:r>
        <w:rPr>
          <w:rFonts w:hint="eastAsia" w:ascii="微软雅黑 Light" w:hAnsi="微软雅黑 Light" w:eastAsia="微软雅黑 Light" w:cs="微软雅黑 Light"/>
          <w:szCs w:val="21"/>
        </w:rPr>
        <w:fldChar w:fldCharType="end"/>
      </w:r>
    </w:p>
    <w:p w14:paraId="2D66FDDE">
      <w:pPr>
        <w:pStyle w:val="23"/>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_Toc10052 </w:instrText>
      </w:r>
      <w:r>
        <w:rPr>
          <w:rFonts w:hint="eastAsia" w:ascii="微软雅黑 Light" w:hAnsi="微软雅黑 Light" w:eastAsia="微软雅黑 Light" w:cs="微软雅黑 Light"/>
          <w:szCs w:val="21"/>
        </w:rPr>
        <w:fldChar w:fldCharType="separate"/>
      </w:r>
      <w:r>
        <w:rPr>
          <w:rFonts w:hint="eastAsia"/>
          <w:lang w:val="en-US" w:eastAsia="zh-CN"/>
        </w:rPr>
        <w:t>8</w:t>
      </w:r>
      <w:r>
        <w:rPr>
          <w:rFonts w:hint="eastAsia"/>
        </w:rPr>
        <w:t>.8 项目管理</w:t>
      </w:r>
      <w:r>
        <w:tab/>
      </w:r>
      <w:r>
        <w:fldChar w:fldCharType="begin"/>
      </w:r>
      <w:r>
        <w:instrText xml:space="preserve"> PAGEREF _Toc10052 \h </w:instrText>
      </w:r>
      <w:r>
        <w:fldChar w:fldCharType="separate"/>
      </w:r>
      <w:r>
        <w:t>77</w:t>
      </w:r>
      <w:r>
        <w:fldChar w:fldCharType="end"/>
      </w:r>
      <w:r>
        <w:rPr>
          <w:rFonts w:hint="eastAsia" w:ascii="微软雅黑 Light" w:hAnsi="微软雅黑 Light" w:eastAsia="微软雅黑 Light" w:cs="微软雅黑 Light"/>
          <w:szCs w:val="21"/>
        </w:rPr>
        <w:fldChar w:fldCharType="end"/>
      </w:r>
    </w:p>
    <w:p w14:paraId="1BA7D697">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_Toc3713 </w:instrText>
      </w:r>
      <w:r>
        <w:rPr>
          <w:rFonts w:hint="eastAsia" w:ascii="微软雅黑 Light" w:hAnsi="微软雅黑 Light" w:eastAsia="微软雅黑 Light" w:cs="微软雅黑 Light"/>
          <w:szCs w:val="21"/>
        </w:rPr>
        <w:fldChar w:fldCharType="separate"/>
      </w:r>
      <w:r>
        <w:rPr>
          <w:rFonts w:hint="eastAsia"/>
          <w:lang w:val="en-US" w:eastAsia="zh-CN"/>
        </w:rPr>
        <w:t>8</w:t>
      </w:r>
      <w:r>
        <w:rPr>
          <w:rFonts w:hint="eastAsia"/>
        </w:rPr>
        <w:t>.8.1设计管理</w:t>
      </w:r>
      <w:r>
        <w:tab/>
      </w:r>
      <w:r>
        <w:fldChar w:fldCharType="begin"/>
      </w:r>
      <w:r>
        <w:instrText xml:space="preserve"> PAGEREF _Toc3713 \h </w:instrText>
      </w:r>
      <w:r>
        <w:fldChar w:fldCharType="separate"/>
      </w:r>
      <w:r>
        <w:t>77</w:t>
      </w:r>
      <w:r>
        <w:fldChar w:fldCharType="end"/>
      </w:r>
      <w:r>
        <w:rPr>
          <w:rFonts w:hint="eastAsia" w:ascii="微软雅黑 Light" w:hAnsi="微软雅黑 Light" w:eastAsia="微软雅黑 Light" w:cs="微软雅黑 Light"/>
          <w:szCs w:val="21"/>
        </w:rPr>
        <w:fldChar w:fldCharType="end"/>
      </w:r>
    </w:p>
    <w:p w14:paraId="336851AF">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_Toc23115 </w:instrText>
      </w:r>
      <w:r>
        <w:rPr>
          <w:rFonts w:hint="eastAsia" w:ascii="微软雅黑 Light" w:hAnsi="微软雅黑 Light" w:eastAsia="微软雅黑 Light" w:cs="微软雅黑 Light"/>
          <w:szCs w:val="21"/>
        </w:rPr>
        <w:fldChar w:fldCharType="separate"/>
      </w:r>
      <w:r>
        <w:rPr>
          <w:rFonts w:hint="eastAsia"/>
          <w:lang w:val="en-US" w:eastAsia="zh-CN"/>
        </w:rPr>
        <w:t>8</w:t>
      </w:r>
      <w:r>
        <w:rPr>
          <w:rFonts w:hint="eastAsia"/>
        </w:rPr>
        <w:t>.8.2施工管理</w:t>
      </w:r>
      <w:r>
        <w:tab/>
      </w:r>
      <w:r>
        <w:fldChar w:fldCharType="begin"/>
      </w:r>
      <w:r>
        <w:instrText xml:space="preserve"> PAGEREF _Toc23115 \h </w:instrText>
      </w:r>
      <w:r>
        <w:fldChar w:fldCharType="separate"/>
      </w:r>
      <w:r>
        <w:t>78</w:t>
      </w:r>
      <w:r>
        <w:fldChar w:fldCharType="end"/>
      </w:r>
      <w:r>
        <w:rPr>
          <w:rFonts w:hint="eastAsia" w:ascii="微软雅黑 Light" w:hAnsi="微软雅黑 Light" w:eastAsia="微软雅黑 Light" w:cs="微软雅黑 Light"/>
          <w:szCs w:val="21"/>
        </w:rPr>
        <w:fldChar w:fldCharType="end"/>
      </w:r>
    </w:p>
    <w:p w14:paraId="00DF8312">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_Toc19933 </w:instrText>
      </w:r>
      <w:r>
        <w:rPr>
          <w:rFonts w:hint="eastAsia" w:ascii="微软雅黑 Light" w:hAnsi="微软雅黑 Light" w:eastAsia="微软雅黑 Light" w:cs="微软雅黑 Light"/>
          <w:szCs w:val="21"/>
        </w:rPr>
        <w:fldChar w:fldCharType="separate"/>
      </w:r>
      <w:r>
        <w:rPr>
          <w:rFonts w:hint="eastAsia"/>
          <w:lang w:val="en-US" w:eastAsia="zh-CN"/>
        </w:rPr>
        <w:t>8</w:t>
      </w:r>
      <w:r>
        <w:rPr>
          <w:rFonts w:hint="eastAsia"/>
        </w:rPr>
        <w:t>.8.3工程的技术管理</w:t>
      </w:r>
      <w:r>
        <w:tab/>
      </w:r>
      <w:r>
        <w:fldChar w:fldCharType="begin"/>
      </w:r>
      <w:r>
        <w:instrText xml:space="preserve"> PAGEREF _Toc19933 \h </w:instrText>
      </w:r>
      <w:r>
        <w:fldChar w:fldCharType="separate"/>
      </w:r>
      <w:r>
        <w:t>78</w:t>
      </w:r>
      <w:r>
        <w:fldChar w:fldCharType="end"/>
      </w:r>
      <w:r>
        <w:rPr>
          <w:rFonts w:hint="eastAsia" w:ascii="微软雅黑 Light" w:hAnsi="微软雅黑 Light" w:eastAsia="微软雅黑 Light" w:cs="微软雅黑 Light"/>
          <w:szCs w:val="21"/>
        </w:rPr>
        <w:fldChar w:fldCharType="end"/>
      </w:r>
    </w:p>
    <w:p w14:paraId="24D3D55F">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_Toc7175 </w:instrText>
      </w:r>
      <w:r>
        <w:rPr>
          <w:rFonts w:hint="eastAsia" w:ascii="微软雅黑 Light" w:hAnsi="微软雅黑 Light" w:eastAsia="微软雅黑 Light" w:cs="微软雅黑 Light"/>
          <w:szCs w:val="21"/>
        </w:rPr>
        <w:fldChar w:fldCharType="separate"/>
      </w:r>
      <w:r>
        <w:rPr>
          <w:rFonts w:hint="eastAsia"/>
          <w:lang w:val="en-US" w:eastAsia="zh-CN"/>
        </w:rPr>
        <w:t>8</w:t>
      </w:r>
      <w:r>
        <w:rPr>
          <w:rFonts w:hint="eastAsia"/>
        </w:rPr>
        <w:t>.8.4工程质量管理</w:t>
      </w:r>
      <w:r>
        <w:tab/>
      </w:r>
      <w:r>
        <w:fldChar w:fldCharType="begin"/>
      </w:r>
      <w:r>
        <w:instrText xml:space="preserve"> PAGEREF _Toc7175 \h </w:instrText>
      </w:r>
      <w:r>
        <w:fldChar w:fldCharType="separate"/>
      </w:r>
      <w:r>
        <w:t>78</w:t>
      </w:r>
      <w:r>
        <w:fldChar w:fldCharType="end"/>
      </w:r>
      <w:r>
        <w:rPr>
          <w:rFonts w:hint="eastAsia" w:ascii="微软雅黑 Light" w:hAnsi="微软雅黑 Light" w:eastAsia="微软雅黑 Light" w:cs="微软雅黑 Light"/>
          <w:szCs w:val="21"/>
        </w:rPr>
        <w:fldChar w:fldCharType="end"/>
      </w:r>
    </w:p>
    <w:p w14:paraId="4CA2FAF5">
      <w:pPr>
        <w:pStyle w:val="17"/>
        <w:tabs>
          <w:tab w:val="right" w:leader="dot" w:pos="9152"/>
        </w:tabs>
      </w:pPr>
      <w:r>
        <w:rPr>
          <w:rFonts w:hint="eastAsia" w:ascii="微软雅黑 Light" w:hAnsi="微软雅黑 Light" w:eastAsia="微软雅黑 Light" w:cs="微软雅黑 Light"/>
          <w:szCs w:val="21"/>
        </w:rPr>
        <w:fldChar w:fldCharType="begin"/>
      </w:r>
      <w:r>
        <w:rPr>
          <w:rFonts w:hint="eastAsia" w:ascii="微软雅黑 Light" w:hAnsi="微软雅黑 Light" w:eastAsia="微软雅黑 Light" w:cs="微软雅黑 Light"/>
          <w:szCs w:val="21"/>
        </w:rPr>
        <w:instrText xml:space="preserve"> HYPERLINK \l _Toc28119 </w:instrText>
      </w:r>
      <w:r>
        <w:rPr>
          <w:rFonts w:hint="eastAsia" w:ascii="微软雅黑 Light" w:hAnsi="微软雅黑 Light" w:eastAsia="微软雅黑 Light" w:cs="微软雅黑 Light"/>
          <w:szCs w:val="21"/>
        </w:rPr>
        <w:fldChar w:fldCharType="separate"/>
      </w:r>
      <w:r>
        <w:rPr>
          <w:rFonts w:hint="eastAsia"/>
          <w:lang w:val="en-US" w:eastAsia="zh-CN"/>
        </w:rPr>
        <w:t>8</w:t>
      </w:r>
      <w:r>
        <w:rPr>
          <w:rFonts w:hint="eastAsia"/>
        </w:rPr>
        <w:t>.8.5安全生产管理</w:t>
      </w:r>
      <w:r>
        <w:tab/>
      </w:r>
      <w:r>
        <w:fldChar w:fldCharType="begin"/>
      </w:r>
      <w:r>
        <w:instrText xml:space="preserve"> PAGEREF _Toc28119 \h </w:instrText>
      </w:r>
      <w:r>
        <w:fldChar w:fldCharType="separate"/>
      </w:r>
      <w:r>
        <w:t>79</w:t>
      </w:r>
      <w:r>
        <w:fldChar w:fldCharType="end"/>
      </w:r>
      <w:r>
        <w:rPr>
          <w:rFonts w:hint="eastAsia" w:ascii="微软雅黑 Light" w:hAnsi="微软雅黑 Light" w:eastAsia="微软雅黑 Light" w:cs="微软雅黑 Light"/>
          <w:szCs w:val="21"/>
        </w:rPr>
        <w:fldChar w:fldCharType="end"/>
      </w:r>
    </w:p>
    <w:p w14:paraId="49090A12">
      <w:pPr>
        <w:tabs>
          <w:tab w:val="right" w:leader="dot" w:pos="9152"/>
        </w:tabs>
        <w:spacing w:line="360" w:lineRule="auto"/>
        <w:ind w:firstLine="435"/>
        <w:jc w:val="center"/>
        <w:rPr>
          <w:rFonts w:hint="eastAsia" w:ascii="微软雅黑 Light" w:hAnsi="微软雅黑 Light" w:eastAsia="微软雅黑 Light" w:cs="微软雅黑 Light"/>
          <w:color w:val="FF0000"/>
          <w:sz w:val="21"/>
          <w:szCs w:val="21"/>
        </w:rPr>
      </w:pPr>
      <w:r>
        <w:rPr>
          <w:rFonts w:hint="eastAsia" w:ascii="微软雅黑 Light" w:hAnsi="微软雅黑 Light" w:eastAsia="微软雅黑 Light" w:cs="微软雅黑 Light"/>
          <w:sz w:val="21"/>
          <w:szCs w:val="21"/>
        </w:rPr>
        <w:fldChar w:fldCharType="end"/>
      </w:r>
    </w:p>
    <w:p w14:paraId="32F21C95">
      <w:pPr>
        <w:pStyle w:val="2"/>
        <w:bidi w:val="0"/>
        <w:rPr>
          <w:rFonts w:hint="eastAsia" w:ascii="微软雅黑 Light" w:hAnsi="微软雅黑 Light" w:eastAsia="微软雅黑 Light" w:cs="微软雅黑 Light"/>
          <w:b/>
          <w:szCs w:val="21"/>
        </w:rPr>
      </w:pPr>
      <w:r>
        <w:rPr>
          <w:rFonts w:hint="eastAsia" w:ascii="微软雅黑 Light" w:hAnsi="微软雅黑 Light" w:eastAsia="微软雅黑 Light" w:cs="微软雅黑 Light"/>
          <w:color w:val="FF0000"/>
          <w:kern w:val="2"/>
          <w:szCs w:val="21"/>
        </w:rPr>
        <w:br w:type="page"/>
      </w:r>
      <w:bookmarkStart w:id="0" w:name="_Toc21768"/>
      <w:bookmarkStart w:id="1" w:name="_Toc14565"/>
      <w:r>
        <w:rPr>
          <w:rFonts w:hint="eastAsia"/>
        </w:rPr>
        <w:t>概述</w:t>
      </w:r>
      <w:bookmarkEnd w:id="0"/>
      <w:bookmarkEnd w:id="1"/>
    </w:p>
    <w:p w14:paraId="2181AB2E">
      <w:pPr>
        <w:pStyle w:val="3"/>
        <w:numPr>
          <w:ilvl w:val="0"/>
          <w:numId w:val="0"/>
        </w:numPr>
        <w:bidi w:val="0"/>
        <w:ind w:leftChars="0"/>
        <w:rPr>
          <w:rFonts w:hint="eastAsia"/>
        </w:rPr>
      </w:pPr>
      <w:bookmarkStart w:id="2" w:name="_Toc25193"/>
      <w:bookmarkStart w:id="3" w:name="_Toc25564"/>
      <w:r>
        <w:rPr>
          <w:rFonts w:hint="eastAsia"/>
          <w:lang w:val="en-US" w:eastAsia="zh-CN"/>
        </w:rPr>
        <w:t>1.1</w:t>
      </w:r>
      <w:r>
        <w:rPr>
          <w:rFonts w:hint="eastAsia"/>
        </w:rPr>
        <w:t>项目背景</w:t>
      </w:r>
      <w:bookmarkEnd w:id="2"/>
      <w:bookmarkEnd w:id="3"/>
    </w:p>
    <w:p w14:paraId="26E52DDF">
      <w:p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建筑业的发展在推动国民经济巨大发展的同时，也带来了极大的能源消耗——建筑能耗。目前，建筑耗能己与交通耗能、工业耗能并列，成为中国能源消耗的三大“耗能大户”。随着各类建筑的大量兴建和人们对建筑的居住舒适度的要求越来越高，建筑耗能急剧增加。我国拥有当今世界上最大的建筑市场，每年的建筑量约占世界建筑总量的40%。根据测算，如果不及时采取相关节能措施，到202</w:t>
      </w:r>
      <w:r>
        <w:rPr>
          <w:rFonts w:hint="eastAsia" w:ascii="微软雅黑 Light" w:hAnsi="微软雅黑 Light" w:cs="微软雅黑 Light"/>
          <w:sz w:val="21"/>
          <w:szCs w:val="21"/>
          <w:lang w:val="en-US" w:eastAsia="zh-CN"/>
        </w:rPr>
        <w:t>4</w:t>
      </w:r>
      <w:r>
        <w:rPr>
          <w:rFonts w:hint="eastAsia" w:ascii="微软雅黑 Light" w:hAnsi="微软雅黑 Light" w:eastAsia="微软雅黑 Light" w:cs="微软雅黑 Light"/>
          <w:sz w:val="21"/>
          <w:szCs w:val="21"/>
        </w:rPr>
        <w:t>年中国建筑能耗将是现在的3倍以上。面对日益严峻的环境形势，建筑不能再继续依赖高能量的输入来换取内部环境的舒适，而应该积极探索减少建筑能耗的有效途径。</w:t>
      </w:r>
    </w:p>
    <w:p w14:paraId="30CA841F">
      <w:p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为加强国家机关和大型公共建筑节能改造与运行，住房和城乡建设部、财政部于2007年10月出台了《关于加强国家机关办公建筑和大型公共建筑节能管理工作的实施意见》（建科[2007]245号）、《国家机关办公建筑和大型公共建筑节能资金管理办法》（财建[2007]558号）。规定了具体实施方法和步骤，明确提出建立国家机关办公建筑和大型公共建筑节能监管体系，为在“十一五”期末，实现国家机关办公建筑和大型公共建筑总能耗下降20%，节约1100-1500万吨标煤建立支撑平台。</w:t>
      </w:r>
    </w:p>
    <w:p w14:paraId="467CD192">
      <w:p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建筑节能是在建筑中合理使用和有效利用能源，不断提高能源利用效率。影响建筑能耗的因素众多，比如建筑物所处的地理位置、区域气候特征、建筑物自身构造、建筑设备的使用、建筑物的运行管理和维护等等。建筑节能是一个系统工程，它涉及到建筑的规划、设计、施工、运行管理诸多环节，包括：</w:t>
      </w:r>
    </w:p>
    <w:p w14:paraId="25B9AD26">
      <w:pPr>
        <w:numPr>
          <w:ilvl w:val="0"/>
          <w:numId w:val="3"/>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节能建筑规划设计（建筑朝向和平面形状、合理规划空间布局及控制体型系数）；</w:t>
      </w:r>
    </w:p>
    <w:p w14:paraId="37E863FD">
      <w:pPr>
        <w:numPr>
          <w:ilvl w:val="0"/>
          <w:numId w:val="3"/>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增强建筑维护结构的保温隔热性能(外墙使用环保、节能型建筑材料；隔离太阳辐射热；尽量减少门窗的面积；设置遮阳设施；提高门窗的气密性；尽量使用新型保温节能门窗；合理控制窗墙比）；</w:t>
      </w:r>
    </w:p>
    <w:p w14:paraId="464F43BA">
      <w:pPr>
        <w:numPr>
          <w:ilvl w:val="0"/>
          <w:numId w:val="3"/>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屋顶的节能技术措施（隔离太阳辐射热、“冷屋顶”节能）；</w:t>
      </w:r>
    </w:p>
    <w:p w14:paraId="3B8D6456">
      <w:pPr>
        <w:numPr>
          <w:ilvl w:val="0"/>
          <w:numId w:val="3"/>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空调系统节能技术措施（降低系统的设计负荷、冷热源节能、减少输送系统的动力能耗、空调机组及末端设备的节能措施、提高送风温差及合理调节新风比、利用冷却塔供冷技术、蓄冷技术、采用热回收与热交换装置、充分利用自然冷源）；</w:t>
      </w:r>
    </w:p>
    <w:p w14:paraId="53669047">
      <w:pPr>
        <w:numPr>
          <w:ilvl w:val="0"/>
          <w:numId w:val="3"/>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运行管理节能技术措施（提高运行管理人员的技术素质、合理的用能计费制度、管路系统的检漏、检垢、调节新风量、在过渡季节利用室外空气的自然冷量、合理设定设备的启动和停止的时间）；</w:t>
      </w:r>
    </w:p>
    <w:p w14:paraId="50E29AC9">
      <w:p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由上可以看出，对建筑内各设备进行实时的监控与管理，是一种重要且有效的节能技术措施，这正是</w:t>
      </w:r>
      <w:r>
        <w:rPr>
          <w:rFonts w:hint="eastAsia" w:ascii="微软雅黑 Light" w:hAnsi="微软雅黑 Light" w:cs="微软雅黑 Light"/>
          <w:sz w:val="21"/>
          <w:szCs w:val="21"/>
          <w:lang w:eastAsia="zh-CN"/>
        </w:rPr>
        <w:t>建筑能耗管理</w:t>
      </w:r>
      <w:r>
        <w:rPr>
          <w:rFonts w:hint="eastAsia" w:ascii="微软雅黑 Light" w:hAnsi="微软雅黑 Light" w:eastAsia="微软雅黑 Light" w:cs="微软雅黑 Light"/>
          <w:sz w:val="21"/>
          <w:szCs w:val="21"/>
        </w:rPr>
        <w:t>系统可实现的功能。</w:t>
      </w:r>
    </w:p>
    <w:p w14:paraId="7DCCA3F3">
      <w:p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通过建筑智能化能耗监管体系建设，建立能耗监测平台、开展能耗统计、能效公示、能源审计，掌握建筑用能数据，摸透建筑内各组织机构的用能规律，从而指导开展低成本节能改造，加强节能运行管理，规划真实有效的用能设计依据。</w:t>
      </w:r>
    </w:p>
    <w:p w14:paraId="09429E85">
      <w:p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通过</w:t>
      </w:r>
      <w:r>
        <w:rPr>
          <w:rFonts w:hint="eastAsia" w:ascii="微软雅黑 Light" w:hAnsi="微软雅黑 Light" w:cs="微软雅黑 Light"/>
          <w:sz w:val="21"/>
          <w:szCs w:val="21"/>
          <w:lang w:eastAsia="zh-CN"/>
        </w:rPr>
        <w:t>建筑能耗管理</w:t>
      </w:r>
      <w:r>
        <w:rPr>
          <w:rFonts w:hint="eastAsia" w:ascii="微软雅黑 Light" w:hAnsi="微软雅黑 Light" w:eastAsia="微软雅黑 Light" w:cs="微软雅黑 Light"/>
          <w:sz w:val="21"/>
          <w:szCs w:val="21"/>
        </w:rPr>
        <w:t>系统实现设备自动调度管理，根据历史经验或预设的参数，对机电设备进行定时、分区等开关控制；根据系统预先设定的设备的调度策略、节能策略、设备的最佳启/停时间控制策略，对系统中机电设备预先启动、调节或关闭；根据实际检测的温度、湿度、照度等自动调节空调照明设备，对设备的负载进行均衡，使大楼内的温湿度控制达到最舒适的程度，同时以最低的能源和电力消耗来维持系统和设备的正常工作，以求取得最低的大楼运作成本和最高的经济效益，从而提高智能建筑的用能效率，促进建筑节能监管体系的建设。</w:t>
      </w:r>
    </w:p>
    <w:p w14:paraId="32B862A1">
      <w:pPr>
        <w:pStyle w:val="3"/>
        <w:numPr>
          <w:ilvl w:val="0"/>
          <w:numId w:val="0"/>
        </w:numPr>
        <w:bidi w:val="0"/>
        <w:ind w:leftChars="0"/>
        <w:rPr>
          <w:rFonts w:hint="eastAsia"/>
        </w:rPr>
      </w:pPr>
      <w:bookmarkStart w:id="4" w:name="_Toc8470"/>
      <w:r>
        <w:rPr>
          <w:rFonts w:hint="eastAsia"/>
          <w:lang w:val="en-US" w:eastAsia="zh-CN"/>
        </w:rPr>
        <w:t>1.2</w:t>
      </w:r>
      <w:r>
        <w:rPr>
          <w:rFonts w:hint="eastAsia"/>
        </w:rPr>
        <w:t>建立能耗管理系统的意义</w:t>
      </w:r>
      <w:bookmarkEnd w:id="4"/>
    </w:p>
    <w:p w14:paraId="2648D3EF">
      <w:p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没有能耗监测，就没有能耗管理，因此要建立建筑能源管理制度，一定要先有良好的能源监测制度，进而进行有效的建筑能源管理。所以，导入建筑能耗计量系统，首先就是要针对建筑物进行全年空调、照明、动力等系统能源消耗的数据监测及分析，以建立建筑物能源使用的相关数据库。因此，对于建立能耗管理系统，其主要意义可归结为：</w:t>
      </w:r>
    </w:p>
    <w:p w14:paraId="5C4B8119">
      <w:pPr>
        <w:numPr>
          <w:ilvl w:val="0"/>
          <w:numId w:val="4"/>
        </w:numPr>
        <w:tabs>
          <w:tab w:val="left" w:pos="1560"/>
          <w:tab w:val="left" w:pos="1985"/>
        </w:tabs>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行为节能、管理节能；</w:t>
      </w:r>
    </w:p>
    <w:p w14:paraId="15134B6A">
      <w:pPr>
        <w:numPr>
          <w:ilvl w:val="0"/>
          <w:numId w:val="4"/>
        </w:numPr>
        <w:tabs>
          <w:tab w:val="left" w:pos="1560"/>
          <w:tab w:val="left" w:pos="1985"/>
        </w:tabs>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有助于建立健全运行维护管理制度；</w:t>
      </w:r>
    </w:p>
    <w:p w14:paraId="739BE6FF">
      <w:pPr>
        <w:numPr>
          <w:ilvl w:val="0"/>
          <w:numId w:val="4"/>
        </w:numPr>
        <w:tabs>
          <w:tab w:val="left" w:pos="1560"/>
          <w:tab w:val="left" w:pos="1985"/>
        </w:tabs>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积累实时能耗数据，为建筑能耗研究奠定基础；</w:t>
      </w:r>
    </w:p>
    <w:p w14:paraId="7C316542">
      <w:pPr>
        <w:numPr>
          <w:ilvl w:val="0"/>
          <w:numId w:val="4"/>
        </w:numPr>
        <w:tabs>
          <w:tab w:val="left" w:pos="1560"/>
          <w:tab w:val="left" w:pos="1985"/>
        </w:tabs>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用能预测及能耗诊断；</w:t>
      </w:r>
    </w:p>
    <w:p w14:paraId="1E05928A">
      <w:pPr>
        <w:numPr>
          <w:ilvl w:val="0"/>
          <w:numId w:val="4"/>
        </w:numPr>
        <w:tabs>
          <w:tab w:val="left" w:pos="1560"/>
          <w:tab w:val="left" w:pos="1985"/>
        </w:tabs>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减少管理环节，优化管理流程，建立客观能源消耗评价体系；</w:t>
      </w:r>
    </w:p>
    <w:p w14:paraId="60C55BF5">
      <w:pPr>
        <w:numPr>
          <w:ilvl w:val="0"/>
          <w:numId w:val="4"/>
        </w:numPr>
        <w:tabs>
          <w:tab w:val="left" w:pos="1560"/>
          <w:tab w:val="left" w:pos="1985"/>
        </w:tabs>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加快系统的故障处理，提高对能源事故的反应能力；</w:t>
      </w:r>
    </w:p>
    <w:p w14:paraId="27DC77E3">
      <w:pPr>
        <w:numPr>
          <w:ilvl w:val="0"/>
          <w:numId w:val="4"/>
        </w:numPr>
        <w:tabs>
          <w:tab w:val="left" w:pos="1560"/>
          <w:tab w:val="left" w:pos="1985"/>
        </w:tabs>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通过优化能源调度和平衡指挥系统，节约能源和改善环境；</w:t>
      </w:r>
    </w:p>
    <w:p w14:paraId="790B35F4">
      <w:pPr>
        <w:pStyle w:val="3"/>
        <w:numPr>
          <w:ilvl w:val="1"/>
          <w:numId w:val="0"/>
        </w:numPr>
        <w:bidi w:val="0"/>
        <w:ind w:leftChars="0"/>
        <w:rPr>
          <w:rFonts w:hint="eastAsia" w:ascii="微软雅黑 Light" w:hAnsi="微软雅黑 Light" w:eastAsia="微软雅黑 Light" w:cs="微软雅黑 Light"/>
          <w:sz w:val="21"/>
          <w:szCs w:val="21"/>
        </w:rPr>
      </w:pPr>
      <w:bookmarkStart w:id="5" w:name="_Toc13368"/>
      <w:r>
        <w:rPr>
          <w:rFonts w:hint="eastAsia"/>
          <w:lang w:val="en-US" w:eastAsia="zh-CN"/>
        </w:rPr>
        <w:t>1.3公司业务简介</w:t>
      </w:r>
      <w:bookmarkEnd w:id="5"/>
    </w:p>
    <w:p w14:paraId="496BA7A1">
      <w:p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lang w:val="en-US" w:eastAsia="zh-CN"/>
        </w:rPr>
      </w:pPr>
      <w:r>
        <w:rPr>
          <w:rFonts w:hint="eastAsia" w:ascii="微软雅黑 Light" w:hAnsi="微软雅黑 Light" w:eastAsia="微软雅黑 Light" w:cs="微软雅黑 Light"/>
          <w:sz w:val="21"/>
          <w:szCs w:val="21"/>
          <w:lang w:val="en-US" w:eastAsia="zh-CN"/>
        </w:rPr>
        <w:t>通微智慧科技有限公司作为工业级智能物联应用解决方案的领先厂商，从环境监控切入，推出集信息采集、设备控制、数据分析于一体的车间温湿度监控系统解决方案。系统实现库区内立体、全方位、自动化监测，做到实时、在线查看和管理环境信息、报警信息，并可对历史数据进行回放、分析，从而实现信息化、智能化的监测和管理。</w:t>
      </w:r>
    </w:p>
    <w:p w14:paraId="2DDCEB49">
      <w:p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本套监控系统具有嵌入式，网络化，集成度高等优点。监控系统的总体功能如下</w:t>
      </w:r>
      <w:r>
        <w:rPr>
          <w:rFonts w:hint="eastAsia" w:ascii="微软雅黑 Light" w:hAnsi="微软雅黑 Light" w:eastAsia="微软雅黑 Light" w:cs="微软雅黑 Light"/>
          <w:sz w:val="21"/>
          <w:szCs w:val="21"/>
          <w:lang w:eastAsia="zh-CN"/>
        </w:rPr>
        <w:t>：</w:t>
      </w:r>
    </w:p>
    <w:p w14:paraId="2BCEF5D0">
      <w:p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现场设备全部采用嵌入式设备，可靠性高，稳定性好。监控设备采用低功耗ARM芯片和嵌入式操作系统作为软件平台，稳定性高。硬件上采用嵌入式SOC技术，系统结构紧凑，发热量低，无需硬盘、显示器等易损部件，不会感染病毒，配有Watchdog系统防止死机，具有故障自动恢复功能。</w:t>
      </w:r>
      <w:r>
        <w:rPr>
          <w:rFonts w:hint="eastAsia" w:ascii="微软雅黑 Light" w:hAnsi="微软雅黑 Light" w:eastAsia="微软雅黑 Light" w:cs="微软雅黑 Light"/>
          <w:sz w:val="21"/>
          <w:szCs w:val="21"/>
          <w:lang w:eastAsia="zh-CN"/>
        </w:rPr>
        <w:t>所有设备</w:t>
      </w:r>
      <w:r>
        <w:rPr>
          <w:rFonts w:hint="eastAsia" w:ascii="微软雅黑 Light" w:hAnsi="微软雅黑 Light" w:eastAsia="微软雅黑 Light" w:cs="微软雅黑 Light"/>
          <w:sz w:val="21"/>
          <w:szCs w:val="21"/>
        </w:rPr>
        <w:t>按照工业级设备标准进行防浪涌、防雷击、防静电等设计，芯片选型材采用工业级产品，保证在现场恶劣环境下的系统稳定。</w:t>
      </w:r>
    </w:p>
    <w:p w14:paraId="2155074B">
      <w:p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组网方式</w:t>
      </w:r>
      <w:r>
        <w:rPr>
          <w:rFonts w:hint="eastAsia" w:ascii="微软雅黑 Light" w:hAnsi="微软雅黑 Light" w:eastAsia="微软雅黑 Light" w:cs="微软雅黑 Light"/>
          <w:sz w:val="21"/>
          <w:szCs w:val="21"/>
          <w:lang w:eastAsia="zh-CN"/>
        </w:rPr>
        <w:t>多种多样，</w:t>
      </w:r>
      <w:r>
        <w:rPr>
          <w:rFonts w:hint="eastAsia" w:ascii="微软雅黑 Light" w:hAnsi="微软雅黑 Light" w:eastAsia="微软雅黑 Light" w:cs="微软雅黑 Light"/>
          <w:sz w:val="21"/>
          <w:szCs w:val="21"/>
          <w:lang w:val="en-US" w:eastAsia="zh-CN"/>
        </w:rPr>
        <w:t>广域网支持以太网/4G/5G/NBIOT等物联网连技术</w:t>
      </w:r>
      <w:r>
        <w:rPr>
          <w:rFonts w:hint="eastAsia" w:ascii="微软雅黑 Light" w:hAnsi="微软雅黑 Light" w:eastAsia="微软雅黑 Light" w:cs="微软雅黑 Light"/>
          <w:sz w:val="21"/>
          <w:szCs w:val="21"/>
          <w:lang w:eastAsia="zh-CN"/>
        </w:rPr>
        <w:t>；</w:t>
      </w:r>
      <w:r>
        <w:rPr>
          <w:rFonts w:hint="eastAsia" w:ascii="微软雅黑 Light" w:hAnsi="微软雅黑 Light" w:eastAsia="微软雅黑 Light" w:cs="微软雅黑 Light"/>
          <w:sz w:val="21"/>
          <w:szCs w:val="21"/>
          <w:lang w:val="en-US" w:eastAsia="zh-CN"/>
        </w:rPr>
        <w:t>本地基于有线RS485以及无线LORA/ZIGBEE，组网灵活。系统</w:t>
      </w:r>
      <w:r>
        <w:rPr>
          <w:rFonts w:hint="eastAsia" w:ascii="微软雅黑 Light" w:hAnsi="微软雅黑 Light" w:eastAsia="微软雅黑 Light" w:cs="微软雅黑 Light"/>
          <w:sz w:val="21"/>
          <w:szCs w:val="21"/>
        </w:rPr>
        <w:t>对监控节点分布广、数量大的多点集中智能监控提供了最有效的监控手段</w:t>
      </w:r>
      <w:r>
        <w:rPr>
          <w:rFonts w:hint="eastAsia" w:ascii="微软雅黑 Light" w:hAnsi="微软雅黑 Light" w:eastAsia="微软雅黑 Light" w:cs="微软雅黑 Light"/>
          <w:sz w:val="21"/>
          <w:szCs w:val="21"/>
          <w:lang w:val="en-US" w:eastAsia="zh-CN"/>
        </w:rPr>
        <w:t>。</w:t>
      </w:r>
    </w:p>
    <w:p w14:paraId="28CB1E1A">
      <w:p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监控系统使用标准协议，扩展方便，便于集成</w:t>
      </w:r>
      <w:r>
        <w:rPr>
          <w:rFonts w:hint="eastAsia" w:ascii="微软雅黑 Light" w:hAnsi="微软雅黑 Light" w:eastAsia="微软雅黑 Light" w:cs="微软雅黑 Light"/>
          <w:sz w:val="21"/>
          <w:szCs w:val="21"/>
          <w:lang w:eastAsia="zh-CN"/>
        </w:rPr>
        <w:t>，</w:t>
      </w:r>
      <w:r>
        <w:rPr>
          <w:rFonts w:hint="eastAsia" w:ascii="微软雅黑 Light" w:hAnsi="微软雅黑 Light" w:eastAsia="微软雅黑 Light" w:cs="微软雅黑 Light"/>
          <w:sz w:val="21"/>
          <w:szCs w:val="21"/>
        </w:rPr>
        <w:t>使得增添监控节点或是增加监控信息非常方便，更实现了即插即用系统集成扩容的平滑过渡，这样需求方可以很方便地根据自身的需求和投资预算进行项目的投资。</w:t>
      </w:r>
    </w:p>
    <w:p w14:paraId="0669AB6B">
      <w:pPr>
        <w:widowControl w:val="0"/>
        <w:numPr>
          <w:ilvl w:val="0"/>
          <w:numId w:val="0"/>
        </w:numPr>
        <w:tabs>
          <w:tab w:val="left" w:pos="1560"/>
          <w:tab w:val="left" w:pos="1985"/>
        </w:tabs>
        <w:spacing w:line="360" w:lineRule="auto"/>
        <w:jc w:val="both"/>
        <w:rPr>
          <w:rFonts w:hint="eastAsia" w:ascii="微软雅黑 Light" w:hAnsi="微软雅黑 Light" w:eastAsia="微软雅黑 Light" w:cs="微软雅黑 Light"/>
          <w:sz w:val="21"/>
          <w:szCs w:val="21"/>
        </w:rPr>
      </w:pPr>
    </w:p>
    <w:p w14:paraId="69ED496A">
      <w:pPr>
        <w:numPr>
          <w:ilvl w:val="0"/>
          <w:numId w:val="4"/>
        </w:numPr>
        <w:tabs>
          <w:tab w:val="left" w:pos="1560"/>
          <w:tab w:val="left" w:pos="1985"/>
        </w:tabs>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br w:type="page"/>
      </w:r>
    </w:p>
    <w:p w14:paraId="53B94E28">
      <w:pPr>
        <w:pStyle w:val="2"/>
        <w:bidi w:val="0"/>
        <w:rPr>
          <w:rFonts w:hint="eastAsia"/>
        </w:rPr>
      </w:pPr>
      <w:bookmarkStart w:id="6" w:name="_Toc272317658"/>
      <w:bookmarkStart w:id="7" w:name="_Toc292897904"/>
      <w:bookmarkStart w:id="8" w:name="_Toc225674439"/>
      <w:bookmarkStart w:id="9" w:name="_Toc296285005"/>
      <w:bookmarkStart w:id="10" w:name="_Toc312692219"/>
      <w:bookmarkStart w:id="11" w:name="_Toc31934"/>
      <w:bookmarkStart w:id="12" w:name="_Toc272676766"/>
      <w:bookmarkStart w:id="13" w:name="_Toc19150"/>
      <w:bookmarkStart w:id="14" w:name="_Toc13629"/>
      <w:r>
        <w:rPr>
          <w:rFonts w:hint="eastAsia"/>
        </w:rPr>
        <w:t>系统整体设计</w:t>
      </w:r>
      <w:bookmarkEnd w:id="6"/>
      <w:bookmarkEnd w:id="7"/>
      <w:bookmarkEnd w:id="8"/>
      <w:bookmarkEnd w:id="9"/>
      <w:bookmarkEnd w:id="10"/>
      <w:bookmarkEnd w:id="11"/>
      <w:bookmarkEnd w:id="12"/>
      <w:r>
        <w:rPr>
          <w:rFonts w:hint="eastAsia"/>
        </w:rPr>
        <w:t>方案</w:t>
      </w:r>
      <w:bookmarkEnd w:id="13"/>
      <w:bookmarkEnd w:id="14"/>
    </w:p>
    <w:p w14:paraId="4AAC8E83">
      <w:pPr>
        <w:bidi w:val="0"/>
        <w:ind w:firstLine="420" w:firstLineChars="200"/>
        <w:rPr>
          <w:rFonts w:hint="eastAsia"/>
          <w:sz w:val="21"/>
          <w:szCs w:val="21"/>
        </w:rPr>
      </w:pPr>
      <w:r>
        <w:rPr>
          <w:rFonts w:hint="eastAsia"/>
          <w:sz w:val="21"/>
          <w:szCs w:val="21"/>
          <w:lang w:eastAsia="zh-CN"/>
        </w:rPr>
        <w:t>建筑能耗管理</w:t>
      </w:r>
      <w:r>
        <w:rPr>
          <w:rFonts w:hint="eastAsia"/>
          <w:sz w:val="21"/>
          <w:szCs w:val="21"/>
        </w:rPr>
        <w:t>系统以国家相关标准、节约型建筑建设相关导则和国家机关办公建筑及大型公共建筑相关导则为依据，整体以在大型公共建筑能耗监测项目中得到广泛应用的建筑能耗监测数据平台软件为基础，结合在大量商业应用中被广泛使用的成熟产品与技术构建而成。</w:t>
      </w:r>
    </w:p>
    <w:p w14:paraId="2ECB94AA">
      <w:pPr>
        <w:spacing w:line="360" w:lineRule="auto"/>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drawing>
          <wp:inline distT="0" distB="0" distL="114300" distR="114300">
            <wp:extent cx="4248150" cy="2926080"/>
            <wp:effectExtent l="0" t="0" r="0" b="7620"/>
            <wp:docPr id="3"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图片1"/>
                    <pic:cNvPicPr>
                      <a:picLocks noChangeAspect="1"/>
                    </pic:cNvPicPr>
                  </pic:nvPicPr>
                  <pic:blipFill>
                    <a:blip r:embed="rId16"/>
                    <a:stretch>
                      <a:fillRect/>
                    </a:stretch>
                  </pic:blipFill>
                  <pic:spPr>
                    <a:xfrm>
                      <a:off x="0" y="0"/>
                      <a:ext cx="4248150" cy="2926080"/>
                    </a:xfrm>
                    <a:prstGeom prst="rect">
                      <a:avLst/>
                    </a:prstGeom>
                    <a:noFill/>
                    <a:ln>
                      <a:noFill/>
                    </a:ln>
                  </pic:spPr>
                </pic:pic>
              </a:graphicData>
            </a:graphic>
          </wp:inline>
        </w:drawing>
      </w:r>
    </w:p>
    <w:p w14:paraId="1D095820">
      <w:pPr>
        <w:spacing w:before="120" w:beforeLines="50" w:after="120" w:afterLines="50"/>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 2-1 系统层次结构</w:t>
      </w:r>
    </w:p>
    <w:p w14:paraId="3630203A">
      <w:pPr>
        <w:numPr>
          <w:ilvl w:val="0"/>
          <w:numId w:val="5"/>
        </w:numPr>
        <w:bidi w:val="0"/>
        <w:rPr>
          <w:rFonts w:hint="eastAsia"/>
          <w:sz w:val="21"/>
          <w:szCs w:val="21"/>
        </w:rPr>
      </w:pPr>
      <w:r>
        <w:rPr>
          <w:rFonts w:hint="eastAsia"/>
          <w:sz w:val="21"/>
          <w:szCs w:val="21"/>
        </w:rPr>
        <w:t>系统首先采用成熟可靠的软件技术、数据采集技术构成了基础的“建筑能耗采集系统”；</w:t>
      </w:r>
    </w:p>
    <w:p w14:paraId="02F5C74B">
      <w:pPr>
        <w:numPr>
          <w:ilvl w:val="0"/>
          <w:numId w:val="5"/>
        </w:numPr>
        <w:bidi w:val="0"/>
        <w:rPr>
          <w:rFonts w:hint="eastAsia"/>
          <w:sz w:val="21"/>
          <w:szCs w:val="21"/>
        </w:rPr>
      </w:pPr>
      <w:r>
        <w:rPr>
          <w:rFonts w:hint="eastAsia"/>
          <w:sz w:val="21"/>
          <w:szCs w:val="21"/>
        </w:rPr>
        <w:t>在此基础上，基于采集和存储海量能耗数据，通过能耗分析计算转化为有效的统计分析结果，结合可视化呈现技术，构成一套“能耗分析计算平台”；能耗分析计算平台具有通用性和开放性，可同时支撑来自多幢智能建筑和建筑群的数据，并根据自身需要自由地应用平台中的能耗数据；</w:t>
      </w:r>
    </w:p>
    <w:p w14:paraId="0814AF72">
      <w:pPr>
        <w:numPr>
          <w:ilvl w:val="0"/>
          <w:numId w:val="5"/>
        </w:numPr>
        <w:bidi w:val="0"/>
        <w:rPr>
          <w:rFonts w:hint="eastAsia"/>
          <w:sz w:val="21"/>
          <w:szCs w:val="21"/>
        </w:rPr>
      </w:pPr>
      <w:r>
        <w:rPr>
          <w:rFonts w:hint="eastAsia"/>
          <w:sz w:val="21"/>
          <w:szCs w:val="21"/>
        </w:rPr>
        <w:t>在能耗分析计算平台的基础上，通过系统的各种计算和呈现功能，辅以呈现技术和交互技术，形成功能更加贴近节能监管业务的“</w:t>
      </w:r>
      <w:r>
        <w:rPr>
          <w:rFonts w:hint="eastAsia"/>
          <w:sz w:val="21"/>
          <w:szCs w:val="21"/>
          <w:lang w:eastAsia="zh-CN"/>
        </w:rPr>
        <w:t>建筑能耗管理</w:t>
      </w:r>
      <w:r>
        <w:rPr>
          <w:rFonts w:hint="eastAsia"/>
          <w:sz w:val="21"/>
          <w:szCs w:val="21"/>
        </w:rPr>
        <w:t>系统”；</w:t>
      </w:r>
    </w:p>
    <w:p w14:paraId="7711333C">
      <w:pPr>
        <w:pStyle w:val="3"/>
        <w:numPr>
          <w:ilvl w:val="0"/>
          <w:numId w:val="0"/>
        </w:numPr>
        <w:bidi w:val="0"/>
        <w:ind w:leftChars="0"/>
        <w:rPr>
          <w:rFonts w:hint="eastAsia"/>
        </w:rPr>
      </w:pPr>
      <w:bookmarkStart w:id="15" w:name="_Toc292897905"/>
      <w:bookmarkStart w:id="16" w:name="_Toc23940"/>
      <w:bookmarkStart w:id="17" w:name="_Toc312692220"/>
      <w:bookmarkStart w:id="18" w:name="_Toc17865"/>
      <w:bookmarkStart w:id="19" w:name="_Toc296285006"/>
      <w:r>
        <w:rPr>
          <w:rFonts w:hint="eastAsia"/>
          <w:lang w:val="en-US" w:eastAsia="zh-CN"/>
        </w:rPr>
        <w:t>2.1</w:t>
      </w:r>
      <w:r>
        <w:rPr>
          <w:rFonts w:hint="eastAsia"/>
        </w:rPr>
        <w:t>系统需求</w:t>
      </w:r>
      <w:bookmarkEnd w:id="15"/>
      <w:r>
        <w:rPr>
          <w:rFonts w:hint="eastAsia"/>
        </w:rPr>
        <w:t>分析</w:t>
      </w:r>
      <w:bookmarkEnd w:id="16"/>
      <w:bookmarkEnd w:id="17"/>
      <w:bookmarkEnd w:id="18"/>
      <w:bookmarkEnd w:id="19"/>
    </w:p>
    <w:p w14:paraId="4BEAA45B">
      <w:pPr>
        <w:pStyle w:val="52"/>
        <w:ind w:firstLine="420" w:firstLineChars="200"/>
        <w:textAlignment w:val="baseline"/>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目前，没有实现统一的自动能耗采集管理，在能耗数据统计的时效性、准确性方面都存在一定的问题；建筑管理单位在节能的各个方面都开展了相关工作，但缺乏一个宣传、公示及能源辅助管理的平台。本系统的建设将满足以下需求，达到的节能管理工作需要。包括：</w:t>
      </w:r>
    </w:p>
    <w:p w14:paraId="5CF9208F">
      <w:pPr>
        <w:numPr>
          <w:ilvl w:val="0"/>
          <w:numId w:val="6"/>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数据采集子系统：可接纳符合《智能建筑设计标准》规定的通信协议的数据；提供对能耗采集终端数据的解析能力和存储能力，提供对既有能耗监控相关系统与设备的接入能力；</w:t>
      </w:r>
    </w:p>
    <w:p w14:paraId="647B756D">
      <w:pPr>
        <w:numPr>
          <w:ilvl w:val="0"/>
          <w:numId w:val="6"/>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能耗查询、统计、分析、评价子系统：包含建筑能耗分析计算引擎、能耗分析结果查询模块、能耗分析报告生成模块等；</w:t>
      </w:r>
    </w:p>
    <w:p w14:paraId="51E2379A">
      <w:pPr>
        <w:numPr>
          <w:ilvl w:val="0"/>
          <w:numId w:val="6"/>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能耗模型管理子系统：提供涵盖符合节约型智能建筑监管系统建设需要的模型，提供开放、可扩展的能耗计算平台；</w:t>
      </w:r>
    </w:p>
    <w:p w14:paraId="0E438E8A">
      <w:pPr>
        <w:numPr>
          <w:ilvl w:val="0"/>
          <w:numId w:val="6"/>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建筑用能监控模块：主要包含用能总量监控、同类建筑用能比对、详细用能动态监控、主要用能设备的运行参数监控等功能；</w:t>
      </w:r>
    </w:p>
    <w:p w14:paraId="328219FF">
      <w:pPr>
        <w:numPr>
          <w:ilvl w:val="0"/>
          <w:numId w:val="6"/>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设备故障和用能异常报警子系统：提供能耗监察、能耗异常追踪、能耗报警记录查询、重点用能设备报警台帐管理以及多种方式的报警处理功能。报警信息可通过多种方式通知用户；</w:t>
      </w:r>
    </w:p>
    <w:p w14:paraId="6FD17341">
      <w:pPr>
        <w:numPr>
          <w:ilvl w:val="0"/>
          <w:numId w:val="6"/>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建筑能源辅助审计模块：包括建筑基础信息收集、用能评价、用能诊断、辅助审计报告生成导出等功能；</w:t>
      </w:r>
    </w:p>
    <w:p w14:paraId="099FD6D4">
      <w:pPr>
        <w:numPr>
          <w:ilvl w:val="0"/>
          <w:numId w:val="6"/>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建筑能效公示模块：公示方式采用列表、趋势图、饼图、柱状图等，界面直观，支持用户按需配置；</w:t>
      </w:r>
    </w:p>
    <w:p w14:paraId="19C104D0">
      <w:pPr>
        <w:numPr>
          <w:ilvl w:val="0"/>
          <w:numId w:val="6"/>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权限子系统：提供灵活的权限控制，满足系统使用的安全性需求；</w:t>
      </w:r>
    </w:p>
    <w:p w14:paraId="26F4E49B">
      <w:pPr>
        <w:numPr>
          <w:ilvl w:val="0"/>
          <w:numId w:val="6"/>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运行维护子系统：提供系统运行监视和诊断功能，提供日志功能；</w:t>
      </w:r>
    </w:p>
    <w:p w14:paraId="075DAF7E">
      <w:pPr>
        <w:numPr>
          <w:ilvl w:val="0"/>
          <w:numId w:val="6"/>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具备向第三方系统提供接口能力：系统可向外部提供标准的XML数据接口；</w:t>
      </w:r>
    </w:p>
    <w:p w14:paraId="0F326DA9">
      <w:pPr>
        <w:numPr>
          <w:ilvl w:val="0"/>
          <w:numId w:val="6"/>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实现对一般建筑的整体用能监测和重点建筑详细用能监测，实现按单位/组织进行用能分析；</w:t>
      </w:r>
    </w:p>
    <w:p w14:paraId="0DB89846">
      <w:pPr>
        <w:pStyle w:val="3"/>
        <w:numPr>
          <w:ilvl w:val="0"/>
          <w:numId w:val="0"/>
        </w:numPr>
        <w:bidi w:val="0"/>
        <w:ind w:firstLine="280" w:firstLineChars="100"/>
        <w:rPr>
          <w:rFonts w:hint="eastAsia"/>
        </w:rPr>
      </w:pPr>
      <w:bookmarkStart w:id="20" w:name="_Toc30358"/>
      <w:bookmarkStart w:id="21" w:name="_Toc19603"/>
      <w:bookmarkStart w:id="22" w:name="_Toc296285007"/>
      <w:bookmarkStart w:id="23" w:name="_Toc312692221"/>
      <w:bookmarkStart w:id="24" w:name="_Toc292897906"/>
      <w:r>
        <w:rPr>
          <w:rFonts w:hint="eastAsia"/>
          <w:lang w:val="en-US" w:eastAsia="zh-CN"/>
        </w:rPr>
        <w:t>2.2</w:t>
      </w:r>
      <w:r>
        <w:rPr>
          <w:rFonts w:hint="eastAsia"/>
        </w:rPr>
        <w:t>系统建设原则</w:t>
      </w:r>
      <w:bookmarkEnd w:id="20"/>
      <w:bookmarkEnd w:id="21"/>
      <w:bookmarkEnd w:id="22"/>
      <w:bookmarkEnd w:id="23"/>
      <w:bookmarkEnd w:id="24"/>
    </w:p>
    <w:p w14:paraId="6431332A">
      <w:pPr>
        <w:pStyle w:val="40"/>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cs="微软雅黑 Light"/>
          <w:sz w:val="21"/>
          <w:szCs w:val="21"/>
          <w:lang w:eastAsia="zh-CN"/>
        </w:rPr>
        <w:t>建筑能耗管理</w:t>
      </w:r>
      <w:r>
        <w:rPr>
          <w:rFonts w:hint="eastAsia" w:ascii="微软雅黑 Light" w:hAnsi="微软雅黑 Light" w:eastAsia="微软雅黑 Light" w:cs="微软雅黑 Light"/>
          <w:sz w:val="21"/>
          <w:szCs w:val="21"/>
        </w:rPr>
        <w:t>平台，在设计时遵循如下的基本原则：</w:t>
      </w:r>
    </w:p>
    <w:p w14:paraId="7D6325F3">
      <w:pPr>
        <w:numPr>
          <w:ilvl w:val="0"/>
          <w:numId w:val="7"/>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整体规划设计，分步投入建设；</w:t>
      </w:r>
    </w:p>
    <w:p w14:paraId="5B9FBC19">
      <w:pPr>
        <w:numPr>
          <w:ilvl w:val="0"/>
          <w:numId w:val="7"/>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兼顾考虑成熟性与先进性，采用经过考验的成熟的软硬件产品，搭建创新的应用体系；</w:t>
      </w:r>
    </w:p>
    <w:p w14:paraId="63CC72D7">
      <w:pPr>
        <w:numPr>
          <w:ilvl w:val="0"/>
          <w:numId w:val="7"/>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充分考虑对既有系统的兼容性，尽量减少软硬件重复投资；</w:t>
      </w:r>
    </w:p>
    <w:p w14:paraId="01160436">
      <w:pPr>
        <w:numPr>
          <w:ilvl w:val="0"/>
          <w:numId w:val="7"/>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充分结合的实际情况，在符合需求的同时，凸显特色与亮点。</w:t>
      </w:r>
    </w:p>
    <w:p w14:paraId="47DEBDE9">
      <w:pPr>
        <w:pStyle w:val="40"/>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在以上整体建设原则的基础上，系统的设计将遵守通用设计准则：</w:t>
      </w:r>
    </w:p>
    <w:p w14:paraId="577CEBD2">
      <w:pPr>
        <w:numPr>
          <w:ilvl w:val="0"/>
          <w:numId w:val="8"/>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开放性：系统应具备良好的全开放功能；</w:t>
      </w:r>
    </w:p>
    <w:p w14:paraId="54BDB588">
      <w:pPr>
        <w:numPr>
          <w:ilvl w:val="0"/>
          <w:numId w:val="8"/>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安全性：系统的软件及技术均满足应用所需的相应安全性；</w:t>
      </w:r>
    </w:p>
    <w:p w14:paraId="16BFBA3F">
      <w:pPr>
        <w:numPr>
          <w:ilvl w:val="0"/>
          <w:numId w:val="8"/>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可靠性：系统的软件及技术具有高可靠性；</w:t>
      </w:r>
    </w:p>
    <w:p w14:paraId="7D940E90">
      <w:pPr>
        <w:numPr>
          <w:ilvl w:val="0"/>
          <w:numId w:val="8"/>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通用性：系统软件及技术应具有通用性；</w:t>
      </w:r>
    </w:p>
    <w:p w14:paraId="20ADC403">
      <w:pPr>
        <w:numPr>
          <w:ilvl w:val="0"/>
          <w:numId w:val="8"/>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可扩展性：系统软件及技术均要满足功能扩展和范围扩展的需求；</w:t>
      </w:r>
    </w:p>
    <w:p w14:paraId="7B0EA9CB">
      <w:pPr>
        <w:numPr>
          <w:ilvl w:val="0"/>
          <w:numId w:val="8"/>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整体性：整个系统整体规划、统一标准、规范接口，保证系统的完整性；</w:t>
      </w:r>
    </w:p>
    <w:p w14:paraId="056AC94A">
      <w:pPr>
        <w:numPr>
          <w:ilvl w:val="0"/>
          <w:numId w:val="8"/>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经济实用性：系统的性能价格比应尽可能高；</w:t>
      </w:r>
    </w:p>
    <w:p w14:paraId="2EF787AC">
      <w:pPr>
        <w:numPr>
          <w:ilvl w:val="0"/>
          <w:numId w:val="8"/>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可维护性：系统应维护操作简单、维护工作量少。</w:t>
      </w:r>
      <w:bookmarkStart w:id="25" w:name="_Toc292897907"/>
      <w:bookmarkStart w:id="26" w:name="_Toc272676764"/>
      <w:bookmarkStart w:id="27" w:name="_Toc272317656"/>
      <w:bookmarkStart w:id="28" w:name="_Toc225674437"/>
      <w:bookmarkStart w:id="29" w:name="_Toc225615358"/>
    </w:p>
    <w:bookmarkEnd w:id="25"/>
    <w:bookmarkEnd w:id="26"/>
    <w:bookmarkEnd w:id="27"/>
    <w:bookmarkEnd w:id="28"/>
    <w:bookmarkEnd w:id="29"/>
    <w:p w14:paraId="4BC92B42">
      <w:pPr>
        <w:pStyle w:val="3"/>
        <w:numPr>
          <w:ilvl w:val="0"/>
          <w:numId w:val="0"/>
        </w:numPr>
        <w:bidi w:val="0"/>
        <w:ind w:leftChars="0"/>
        <w:rPr>
          <w:rFonts w:hint="eastAsia"/>
        </w:rPr>
      </w:pPr>
      <w:bookmarkStart w:id="30" w:name="_Toc160"/>
      <w:bookmarkStart w:id="31" w:name="_Toc296285008"/>
      <w:bookmarkStart w:id="32" w:name="_Toc312692222"/>
      <w:bookmarkStart w:id="33" w:name="_Toc30004"/>
      <w:r>
        <w:rPr>
          <w:rFonts w:hint="eastAsia"/>
          <w:lang w:val="en-US" w:eastAsia="zh-CN"/>
        </w:rPr>
        <w:t>2.3</w:t>
      </w:r>
      <w:r>
        <w:rPr>
          <w:rFonts w:hint="eastAsia"/>
        </w:rPr>
        <w:t>系统目标</w:t>
      </w:r>
      <w:bookmarkEnd w:id="30"/>
      <w:bookmarkEnd w:id="31"/>
      <w:bookmarkEnd w:id="32"/>
      <w:bookmarkEnd w:id="33"/>
    </w:p>
    <w:p w14:paraId="6F0F26B5">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cs="微软雅黑 Light"/>
          <w:sz w:val="21"/>
          <w:szCs w:val="21"/>
          <w:lang w:eastAsia="zh-CN"/>
        </w:rPr>
        <w:t>建筑能耗管理</w:t>
      </w:r>
      <w:r>
        <w:rPr>
          <w:rFonts w:hint="eastAsia" w:ascii="微软雅黑 Light" w:hAnsi="微软雅黑 Light" w:eastAsia="微软雅黑 Light" w:cs="微软雅黑 Light"/>
          <w:sz w:val="21"/>
          <w:szCs w:val="21"/>
        </w:rPr>
        <w:t>平台，是开展建筑节能管理增效建设的重点内容。整套系统包括监控中心平台建设、数据中心部署和前端监控点数据采集设备安装建设工程。项目完成时将达到以下目标：</w:t>
      </w:r>
    </w:p>
    <w:p w14:paraId="4DC3F044">
      <w:pPr>
        <w:numPr>
          <w:ilvl w:val="0"/>
          <w:numId w:val="9"/>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构建覆盖全面、数据及时、精准可靠、稳定安全的建筑物综合能耗（水、电、）数据采集体系；</w:t>
      </w:r>
    </w:p>
    <w:p w14:paraId="5F6591CE">
      <w:pPr>
        <w:numPr>
          <w:ilvl w:val="0"/>
          <w:numId w:val="9"/>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建立符合节约型建筑监管体系、国家机关办公建筑和大型公共建筑节能管理和监测平台建设要求的建筑节能监管系统，包括能耗监测、能耗统计、能源审计、能效公示及相应的各项管理功能等；</w:t>
      </w:r>
    </w:p>
    <w:p w14:paraId="0B9E2114">
      <w:pPr>
        <w:numPr>
          <w:ilvl w:val="0"/>
          <w:numId w:val="9"/>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结合用户已有的建筑系统平台，实现数据同步管理；</w:t>
      </w:r>
    </w:p>
    <w:p w14:paraId="65521F99">
      <w:pPr>
        <w:numPr>
          <w:ilvl w:val="0"/>
          <w:numId w:val="9"/>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结合建筑物实际的用户情况，实现按自定义的组织机构，进行能耗计量分析；</w:t>
      </w:r>
    </w:p>
    <w:p w14:paraId="668FFCB6">
      <w:pPr>
        <w:numPr>
          <w:ilvl w:val="0"/>
          <w:numId w:val="9"/>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提供精确及时、符合业务需求的建筑节能管理平台；</w:t>
      </w:r>
    </w:p>
    <w:p w14:paraId="74B6AD26">
      <w:pPr>
        <w:numPr>
          <w:ilvl w:val="0"/>
          <w:numId w:val="9"/>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建立具备可扩展的、拥有统计分析能力的建筑节能监管系统。</w:t>
      </w:r>
    </w:p>
    <w:p w14:paraId="60E51796">
      <w:pPr>
        <w:pStyle w:val="3"/>
        <w:numPr>
          <w:ilvl w:val="0"/>
          <w:numId w:val="0"/>
        </w:numPr>
        <w:bidi w:val="0"/>
        <w:rPr>
          <w:rFonts w:hint="eastAsia"/>
        </w:rPr>
      </w:pPr>
      <w:bookmarkStart w:id="34" w:name="_Toc6086"/>
      <w:r>
        <w:rPr>
          <w:rFonts w:hint="eastAsia"/>
          <w:lang w:val="en-US" w:eastAsia="zh-CN"/>
        </w:rPr>
        <w:t>2.4</w:t>
      </w:r>
      <w:r>
        <w:rPr>
          <w:rFonts w:hint="eastAsia"/>
        </w:rPr>
        <w:t>智能建筑的能耗计量</w:t>
      </w:r>
      <w:bookmarkEnd w:id="34"/>
    </w:p>
    <w:p w14:paraId="51AC1B21">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cs="微软雅黑 Light"/>
          <w:sz w:val="21"/>
          <w:szCs w:val="21"/>
          <w:lang w:eastAsia="zh-CN"/>
        </w:rPr>
        <w:t>建筑能耗管理</w:t>
      </w:r>
      <w:r>
        <w:rPr>
          <w:rFonts w:hint="eastAsia" w:ascii="微软雅黑 Light" w:hAnsi="微软雅黑 Light" w:eastAsia="微软雅黑 Light" w:cs="微软雅黑 Light"/>
          <w:sz w:val="21"/>
          <w:szCs w:val="21"/>
        </w:rPr>
        <w:t>系统，是对建筑设备监控系统、公共安全系统和能源供应系统等实施综合管理的系统。系统一般包括热力系统、制冷系统、空调系统、给排水系统、电力系统、照明控制系统和电梯管理系统等。系统主要利用DDC控制器对建筑内机电设备运行状态参数实时采集，DDC采集的运行状态参数包括压力、温度、流量等，其中，有一部分参数同时也是能耗参数，可由此计算出能耗量。能源供应系统包括：供电系统、供水系统、供气系统、供冷系统、供热系统等。</w:t>
      </w:r>
    </w:p>
    <w:p w14:paraId="5C7BC228">
      <w:pPr>
        <w:pStyle w:val="4"/>
        <w:bidi w:val="0"/>
        <w:rPr>
          <w:rFonts w:hint="eastAsia"/>
        </w:rPr>
      </w:pPr>
      <w:bookmarkStart w:id="35" w:name="_Toc8288"/>
      <w:r>
        <w:rPr>
          <w:rFonts w:hint="eastAsia"/>
        </w:rPr>
        <w:t>2.4.1冷站监控系统的能耗计量</w:t>
      </w:r>
      <w:bookmarkEnd w:id="35"/>
    </w:p>
    <w:p w14:paraId="4A83FAB9">
      <w:pPr>
        <w:numPr>
          <w:ilvl w:val="0"/>
          <w:numId w:val="10"/>
        </w:numPr>
        <w:spacing w:line="360" w:lineRule="auto"/>
        <w:ind w:left="845"/>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冷站系统概述</w:t>
      </w:r>
    </w:p>
    <w:p w14:paraId="2186521E">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冷站系统由冷水机组、冷冻水循环系统、冷却水循环系统等主要系统组成，是空调系统的冷量来源，对其进行监控管理，对保障空调系统的实现良好的室内环境控制和系统节能有着重要的作用。冷站系统是由DDC采取现场有关信息及参数，编制相关程序，实现冷站内各设备的监测、报警、控制与调节，冷站内各设备通过通信系统向中央站传输信息，并接收中心站的指令。</w:t>
      </w:r>
    </w:p>
    <w:p w14:paraId="4012B738">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由于冷站中水系统有冷源侧定水量和变水量之分，故冷站系统通常可分为定水量冷站系统和变水量冷站系统。定水量系统是通过调节冷冻水的水温来适应空调负荷的变化，而水量不变；变水量系统是供水温度不变，通过调节冷冻水水量来适应负荷变化。无论是定水量系统还是变水量系统，都牵涉到温度或者流量的变化，而这两个参数的变化就决定着冷量的变化。</w:t>
      </w:r>
    </w:p>
    <w:p w14:paraId="34F0C754">
      <w:pPr>
        <w:numPr>
          <w:ilvl w:val="0"/>
          <w:numId w:val="10"/>
        </w:numPr>
        <w:spacing w:line="360" w:lineRule="auto"/>
        <w:ind w:left="845"/>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冷站系统监控</w:t>
      </w:r>
    </w:p>
    <w:p w14:paraId="08C82825">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对于冷站的自动监控，已形成一套完整、全面、可靠的监控策略，其监控策略为：</w:t>
      </w:r>
    </w:p>
    <w:p w14:paraId="0DEC9A78">
      <w:pPr>
        <w:numPr>
          <w:ilvl w:val="0"/>
          <w:numId w:val="11"/>
        </w:num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机组定时启停控制：</w:t>
      </w:r>
    </w:p>
    <w:p w14:paraId="4894F1B0">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根据事先排好的工作及节假日作息时间表，自动启停冷水机组、冷冻水泵、冷却水泵、电动阀门及冷却塔。</w:t>
      </w:r>
    </w:p>
    <w:p w14:paraId="238B7D3D">
      <w:pPr>
        <w:numPr>
          <w:ilvl w:val="0"/>
          <w:numId w:val="11"/>
        </w:num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机组台数控制：</w:t>
      </w:r>
    </w:p>
    <w:p w14:paraId="002630D4">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根据建筑所需冷负荷及压差旁通阀开度，自动调整冷水机组运行台数，达到最佳的节能目的。</w:t>
      </w:r>
    </w:p>
    <w:p w14:paraId="2D0A4F1D">
      <w:pPr>
        <w:numPr>
          <w:ilvl w:val="0"/>
          <w:numId w:val="11"/>
        </w:num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机组连锁控制：</w:t>
      </w:r>
    </w:p>
    <w:p w14:paraId="1FA3DC7B">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启动顺序：冷却塔风机一&gt;冷却水蝶阀一&gt;冷却水泵一&gt;冷冻水蝶阀一&gt;冷冻水泵一&gt;冷水机组。</w:t>
      </w:r>
    </w:p>
    <w:p w14:paraId="62D8A22D">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停止顺序：冷水机组一&gt;冷冻水泵一&gt;冷冻水蝶阀一&gt;冷却水泵一&gt;冷却水蝶阀一&gt;冷却塔风机。</w:t>
      </w:r>
    </w:p>
    <w:p w14:paraId="4716B075">
      <w:pPr>
        <w:numPr>
          <w:ilvl w:val="0"/>
          <w:numId w:val="11"/>
        </w:num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冷冻水压差控制：</w:t>
      </w:r>
    </w:p>
    <w:p w14:paraId="7DFB5C6C">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根据冷水供回水压差，自动调节旁通调节阀的开度，维持供回水压差恒定。</w:t>
      </w:r>
    </w:p>
    <w:p w14:paraId="1C312630">
      <w:pPr>
        <w:numPr>
          <w:ilvl w:val="0"/>
          <w:numId w:val="11"/>
        </w:num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冷却水温度控制：</w:t>
      </w:r>
    </w:p>
    <w:p w14:paraId="4C59D2BB">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根据冷却水温度自动控制冷却塔风机的启停台数，如果冷却水温度过低，打开冷却水旁通阀，使冷却水不经过冷却塔冷却。</w:t>
      </w:r>
    </w:p>
    <w:p w14:paraId="6568D3A0">
      <w:pPr>
        <w:numPr>
          <w:ilvl w:val="0"/>
          <w:numId w:val="11"/>
        </w:num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冷冻水出口水温控制：</w:t>
      </w:r>
    </w:p>
    <w:p w14:paraId="5D694A8E">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根据大楼实际所需的冷量以及运行机组的额定冷量，自动的调整冷水机组出口水温的设定值，使得系统节能运行。</w:t>
      </w:r>
    </w:p>
    <w:p w14:paraId="116D2A16">
      <w:pPr>
        <w:numPr>
          <w:ilvl w:val="0"/>
          <w:numId w:val="11"/>
        </w:num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水泵保护控制：</w:t>
      </w:r>
    </w:p>
    <w:p w14:paraId="5148DBC3">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冷冻、冷却水泵启动后，水流开关检测水流状态，如遇故障则自动停泵，其备用泵自动投入运行。</w:t>
      </w:r>
    </w:p>
    <w:p w14:paraId="71A5DBB7">
      <w:pPr>
        <w:numPr>
          <w:ilvl w:val="0"/>
          <w:numId w:val="11"/>
        </w:num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机组运行参数监测：</w:t>
      </w:r>
    </w:p>
    <w:p w14:paraId="7D2BB46C">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监测系统各检测点的温度、压差、流量等参数，自动显示、定时打印及故障报警。</w:t>
      </w:r>
    </w:p>
    <w:p w14:paraId="21D6FE91">
      <w:pPr>
        <w:numPr>
          <w:ilvl w:val="0"/>
          <w:numId w:val="11"/>
        </w:num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报警：</w:t>
      </w:r>
    </w:p>
    <w:p w14:paraId="7B086720">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温度、压差、流量超限报警，冷水机组、冷冻水泵、冷却水泵、冷却塔风机故障过载报警。</w:t>
      </w:r>
    </w:p>
    <w:p w14:paraId="0CF7E472">
      <w:pPr>
        <w:numPr>
          <w:ilvl w:val="0"/>
          <w:numId w:val="11"/>
        </w:num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显示打印：</w:t>
      </w:r>
    </w:p>
    <w:p w14:paraId="3731ED7E">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状态、报警、各种参数的动态图形，并列出设备保养及维修报告。</w:t>
      </w:r>
    </w:p>
    <w:p w14:paraId="1F7A928D">
      <w:pPr>
        <w:numPr>
          <w:ilvl w:val="0"/>
          <w:numId w:val="10"/>
        </w:numPr>
        <w:spacing w:line="360" w:lineRule="auto"/>
        <w:ind w:left="845"/>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能耗计量</w:t>
      </w:r>
    </w:p>
    <w:p w14:paraId="14700E9E">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其中，作为冷量计量所需要的参数有三个：冷冻水总管的供水温度、回水温度和冷冻水总管的回水流量。根据这三个参数，可以计算出冷站系统所提供的冷负荷量，从而可以作为分项能耗量计入</w:t>
      </w:r>
      <w:r>
        <w:rPr>
          <w:rFonts w:hint="eastAsia" w:ascii="微软雅黑 Light" w:hAnsi="微软雅黑 Light" w:cs="微软雅黑 Light"/>
          <w:sz w:val="21"/>
          <w:szCs w:val="21"/>
          <w:lang w:eastAsia="zh-CN"/>
        </w:rPr>
        <w:t>建筑能耗管理</w:t>
      </w:r>
      <w:r>
        <w:rPr>
          <w:rFonts w:hint="eastAsia" w:ascii="微软雅黑 Light" w:hAnsi="微软雅黑 Light" w:eastAsia="微软雅黑 Light" w:cs="微软雅黑 Light"/>
          <w:sz w:val="21"/>
          <w:szCs w:val="21"/>
        </w:rPr>
        <w:t>系统。</w:t>
      </w:r>
    </w:p>
    <w:p w14:paraId="7F2FC5B3">
      <w:pPr>
        <w:pStyle w:val="4"/>
        <w:bidi w:val="0"/>
        <w:rPr>
          <w:rFonts w:hint="eastAsia"/>
        </w:rPr>
      </w:pPr>
      <w:bookmarkStart w:id="36" w:name="_Toc9363"/>
      <w:r>
        <w:rPr>
          <w:rFonts w:hint="eastAsia"/>
        </w:rPr>
        <w:t>2.4.2供配电监测系统的能耗计量</w:t>
      </w:r>
      <w:bookmarkEnd w:id="36"/>
    </w:p>
    <w:p w14:paraId="704D9704">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电能的计量是建筑能耗分类计量必不可少的内容之一，在项目实施中，将充分利用智能建筑中已有的供配电系统来实现电能耗的计量，减少计量仪表的安装，节省成本、节约资源。</w:t>
      </w:r>
    </w:p>
    <w:p w14:paraId="149B8B52">
      <w:pPr>
        <w:numPr>
          <w:ilvl w:val="0"/>
          <w:numId w:val="12"/>
        </w:numPr>
        <w:spacing w:line="360" w:lineRule="auto"/>
        <w:ind w:left="845"/>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供配电监测系统概述</w:t>
      </w:r>
    </w:p>
    <w:p w14:paraId="3116057D">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智能建筑中建筑设备监控系统一般包括供配电系统、热力系统、制冷系统、空调系统、给排水系统、照明控制系统和电梯管理系统等，供配电系统是智能建筑中的动力系统，为大楼内部的空调系统、给排水系统、照明系统、电梯系统、消防及防盗保安系统等提供正常运转所需的电力能源。供配电监控系统除了确保大楼的动力系统正常工作外，还需要综合考虑提高其工作效率，节省能源消耗量。同时，为了保证大楼的正常运作，还需要采用发电机组作为大楼的后备电源。</w:t>
      </w:r>
    </w:p>
    <w:p w14:paraId="767AA3DF">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供配电监控管理系统不但可以减少停电范围，缩短停电时间，改进供电质量，为用户提供更高质量的服务，保持配电网络经济运行，而且能减轻运行人员的劳动强度，减少人员开支，提高劳动生产率，提高经济效益和社会效益。</w:t>
      </w:r>
    </w:p>
    <w:p w14:paraId="35364E4F">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供配电监控管理系统充分利用通信网络，将各变配电系统的运行状况及时反映给监控中心，如高压进出线、变压器、各段低压进出线状态监视和故障报警，电压、电流等参数。由系统在故障报警和事故状态下提供应有的处理方案及手段，确保设备的安全运行，从而实现配电房无人值守，并可在监控中心完成控制、调节、定值下发等高级功能。</w:t>
      </w:r>
    </w:p>
    <w:p w14:paraId="21E5B8CC">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供配电监测系统基本功能包括：</w:t>
      </w:r>
    </w:p>
    <w:p w14:paraId="617461FA">
      <w:pPr>
        <w:numPr>
          <w:ilvl w:val="0"/>
          <w:numId w:val="13"/>
        </w:num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变电配电设备各高、低压主开关运行状况的监视及故障报警；</w:t>
      </w:r>
    </w:p>
    <w:p w14:paraId="680931C8">
      <w:pPr>
        <w:numPr>
          <w:ilvl w:val="0"/>
          <w:numId w:val="13"/>
        </w:num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电源及主供电回路电流值显示；</w:t>
      </w:r>
    </w:p>
    <w:p w14:paraId="07151277">
      <w:pPr>
        <w:numPr>
          <w:ilvl w:val="0"/>
          <w:numId w:val="13"/>
        </w:num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电源电压值显示；</w:t>
      </w:r>
    </w:p>
    <w:p w14:paraId="485CD59A">
      <w:pPr>
        <w:numPr>
          <w:ilvl w:val="0"/>
          <w:numId w:val="13"/>
        </w:num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功率因数测量；</w:t>
      </w:r>
    </w:p>
    <w:p w14:paraId="63957814">
      <w:pPr>
        <w:numPr>
          <w:ilvl w:val="0"/>
          <w:numId w:val="13"/>
        </w:num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电能计量；</w:t>
      </w:r>
    </w:p>
    <w:p w14:paraId="50CB2469">
      <w:pPr>
        <w:numPr>
          <w:ilvl w:val="0"/>
          <w:numId w:val="13"/>
        </w:num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变压器超温报警；</w:t>
      </w:r>
    </w:p>
    <w:p w14:paraId="33CB66FC">
      <w:pPr>
        <w:numPr>
          <w:ilvl w:val="0"/>
          <w:numId w:val="13"/>
        </w:num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应急(备用)电源供电电流、电压和频率监视；</w:t>
      </w:r>
    </w:p>
    <w:p w14:paraId="1A49CC7A">
      <w:pPr>
        <w:numPr>
          <w:ilvl w:val="0"/>
          <w:numId w:val="13"/>
        </w:num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与其它系统通信；</w:t>
      </w:r>
    </w:p>
    <w:p w14:paraId="3F8A9F28">
      <w:pPr>
        <w:numPr>
          <w:ilvl w:val="0"/>
          <w:numId w:val="12"/>
        </w:numPr>
        <w:spacing w:line="360" w:lineRule="auto"/>
        <w:ind w:left="845"/>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供配电监测系统监测</w:t>
      </w:r>
    </w:p>
    <w:p w14:paraId="01EDE0FF">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智能建筑供配电系统为整个建筑物安全、可靠地供电，合理调配用电负荷，最大限度的节能。供配电系统主要是为了实现以下目标而设立,包括：</w:t>
      </w:r>
    </w:p>
    <w:p w14:paraId="18E7124E">
      <w:pPr>
        <w:numPr>
          <w:ilvl w:val="0"/>
          <w:numId w:val="14"/>
        </w:num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对供配电系统、变电配电设备、应急(备用)电源设备、直流电源设备、大容量不停电电源设备进行监视、测量、记录；</w:t>
      </w:r>
    </w:p>
    <w:p w14:paraId="189DBE56">
      <w:pPr>
        <w:numPr>
          <w:ilvl w:val="0"/>
          <w:numId w:val="14"/>
        </w:num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对供电配电系统的各级开关设备的状态、主要回路电流、电压及一些主要部位的电缆温度进行实时、在线监测，保障安全可靠供电；</w:t>
      </w:r>
    </w:p>
    <w:p w14:paraId="6DBF5502">
      <w:pPr>
        <w:numPr>
          <w:ilvl w:val="0"/>
          <w:numId w:val="14"/>
        </w:num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实现用电计量、对各个用户用电费用分析计算、与供电政策有关的高峰期超负荷状态下对次要回路的控制及分时计价等；</w:t>
      </w:r>
    </w:p>
    <w:p w14:paraId="1CA50AE8">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建筑供配电系统的监测内容及管理功能，包括：</w:t>
      </w:r>
    </w:p>
    <w:p w14:paraId="4973A300">
      <w:pPr>
        <w:numPr>
          <w:ilvl w:val="0"/>
          <w:numId w:val="15"/>
        </w:num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运行参数的监测；</w:t>
      </w:r>
    </w:p>
    <w:p w14:paraId="5C76F719">
      <w:pPr>
        <w:numPr>
          <w:ilvl w:val="0"/>
          <w:numId w:val="15"/>
        </w:num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运行状态的监视；</w:t>
      </w:r>
    </w:p>
    <w:p w14:paraId="73494C2E">
      <w:pPr>
        <w:numPr>
          <w:ilvl w:val="0"/>
          <w:numId w:val="15"/>
        </w:num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建筑物内用电设备的用电量的统计及其费用的计算与管理；</w:t>
      </w:r>
    </w:p>
    <w:p w14:paraId="64151192">
      <w:pPr>
        <w:numPr>
          <w:ilvl w:val="0"/>
          <w:numId w:val="15"/>
        </w:num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对各种电气设备的检修、维护保养进行管理；</w:t>
      </w:r>
    </w:p>
    <w:p w14:paraId="27B179A3">
      <w:pPr>
        <w:numPr>
          <w:ilvl w:val="0"/>
          <w:numId w:val="15"/>
        </w:num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供配系统的节能管理；</w:t>
      </w:r>
    </w:p>
    <w:p w14:paraId="5224460D">
      <w:pPr>
        <w:numPr>
          <w:ilvl w:val="0"/>
          <w:numId w:val="12"/>
        </w:numPr>
        <w:spacing w:line="360" w:lineRule="auto"/>
        <w:ind w:left="845"/>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供配电监测系统电能耗计量</w:t>
      </w:r>
    </w:p>
    <w:p w14:paraId="34AE9216">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从计量的角度出发，根据检测到的电压、电流、功率因数计算有功功率、无功功率，并累积用电量，为绘制负荷曲线、无功补偿及电费计算提供依据。</w:t>
      </w:r>
    </w:p>
    <w:p w14:paraId="68893DDF">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供配电系统对建筑内用电设备的电能计量，将包括建筑智能化能源管理系统内各用电设备的电能计量，如：空调、楼宇控制中心、消防控制中心、照明用电、防排烟、防火卷帘和污水处理系统、冷水机组、冷却塔耗电、冷冻水泵、冷却水泵等。</w:t>
      </w:r>
    </w:p>
    <w:p w14:paraId="07378DC1">
      <w:pPr>
        <w:pStyle w:val="4"/>
        <w:bidi w:val="0"/>
        <w:rPr>
          <w:rFonts w:hint="eastAsia"/>
        </w:rPr>
      </w:pPr>
      <w:bookmarkStart w:id="37" w:name="_Toc12577"/>
      <w:r>
        <w:rPr>
          <w:rFonts w:hint="eastAsia"/>
        </w:rPr>
        <w:t>2.4.3给排水监控系统的能耗计量</w:t>
      </w:r>
      <w:bookmarkEnd w:id="37"/>
    </w:p>
    <w:p w14:paraId="4BD39F46">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对于智能建筑内用水量的计量，可以利用智能建筑中己有的给排水监控系统来实现。利用给排水监控系统来实现用水量的计量，也是对给排水监控系统本身功能的升级优化。</w:t>
      </w:r>
    </w:p>
    <w:p w14:paraId="66B3A557">
      <w:pPr>
        <w:numPr>
          <w:ilvl w:val="0"/>
          <w:numId w:val="16"/>
        </w:numPr>
        <w:spacing w:line="360" w:lineRule="auto"/>
        <w:ind w:left="845"/>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给排水监控系统概述</w:t>
      </w:r>
    </w:p>
    <w:p w14:paraId="1E9DA87D">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建筑物给排水监控系统是智能大厦内建筑设备自动化系统（BAS）中的一个子系统，它的主要功能是通过计算机控制及时地调整系统中水泵的运行台数，以达到供水量和需水量、来水量和排水量之间的平衡，实现泵房的最佳运行，实现高效率、低能耗的最优化控制，从而达到经济运行的目的。</w:t>
      </w:r>
    </w:p>
    <w:p w14:paraId="440DFF55">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给排水系统包括生活给水系统、污水系统、中水系统以及消防用水系统，对这些系统进行监控与管理，以保证系统供水质量和系统正常、合理、安全的运行，并实现系统运行节能的目标。</w:t>
      </w:r>
    </w:p>
    <w:p w14:paraId="7EBCBD7F">
      <w:pPr>
        <w:numPr>
          <w:ilvl w:val="0"/>
          <w:numId w:val="16"/>
        </w:numPr>
        <w:spacing w:line="360" w:lineRule="auto"/>
        <w:ind w:left="845"/>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给排水监控系统</w:t>
      </w:r>
    </w:p>
    <w:p w14:paraId="50CB1FC6">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给排水系统的监控，将分为给水监控和排水监控两部分。</w:t>
      </w:r>
    </w:p>
    <w:p w14:paraId="346015FF">
      <w:pPr>
        <w:numPr>
          <w:ilvl w:val="0"/>
          <w:numId w:val="17"/>
        </w:num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给水系统监控</w:t>
      </w:r>
    </w:p>
    <w:p w14:paraId="1586586E">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高层建筑给水系统通常可分为高位水箱给水系统、气压罐给水系统和无水箱恒压直接给水系统三种。在此，将选用最常见的高位水箱给水系统进行监控说明。</w:t>
      </w:r>
    </w:p>
    <w:p w14:paraId="54A0469E">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高位水箱给水系统由高位水箱、加压水泵、配水管网和贮水池（一般设在地下室）组成。由于加压供水方式的不同，高位水箱给水系统又可分为：高位水箱一次提升式给水系统、高位水箱并联式给水系统和高位水箱串联式给水系统。</w:t>
      </w:r>
    </w:p>
    <w:p w14:paraId="0ABE6D3E">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高位水箱并联式给水系统需将大楼分为低区、中区和高区三个供水区。低区由城市给水管网供水；中区由三台水泵（两用一备）和中区水箱联合供水；高区由两台水泵（一用一备）和高区水箱联合供水。</w:t>
      </w:r>
    </w:p>
    <w:p w14:paraId="66A067CD">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每个供水区的高位水箱都设有水位传感器，监测水箱水位，监测水位分别为生活泵启、停泵水位、最低报警水位和水箱溢流报警水位。当生活用水和消防用水共用大楼的蓄水池时，大楼蓄水池应设置生活泵停泵水位以保证消防用水，当发生火灾时，消火栓泵启动，如果蓄水池液面达到消火栓泵停泵水位，将发出报警。</w:t>
      </w:r>
    </w:p>
    <w:p w14:paraId="2716B79D">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给水监控系统还要监视生活泵的状态以及对其进行启停控制。以高区供水区为例，当高区水箱水位下降到高区生活泵启泵水位时，DDC控制启动高区生活泵，使其通过配水干管向高区水箱供水；当高区水箱水位上升到高区生活泵停泵水位时，DDC控制停止高区生活泵供水。</w:t>
      </w:r>
    </w:p>
    <w:p w14:paraId="52220FB5">
      <w:pPr>
        <w:numPr>
          <w:ilvl w:val="0"/>
          <w:numId w:val="17"/>
        </w:num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排水系统监控</w:t>
      </w:r>
    </w:p>
    <w:p w14:paraId="66BE70B1">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建筑物的排水包括地上排水和地下排水两部分。地上建筑的排水系统比较简单，可以靠污水的重力沿排水管道自行排入污水井进入城市排水管网。而建筑物地下的污水排放则有所不同，通常把污水集中于污水池，然后用排污泵排放到地面。所以，建筑物排水系统（主要指建筑物地下的污水排放系统）的监控对象主要有排污泵、污水池等。</w:t>
      </w:r>
    </w:p>
    <w:p w14:paraId="79E7BCDE">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建筑物排水监控系统在污水池中设置液位传感器，分别检测排污泵启泵水位和排污泵停泵水位，同时还要检测最高报警水位和最低报警水位。它的主要监控功能为：排污泵启/停控制、污水（或废水）池水位监测以及超限报警。当污水池的水位达到排污泵启泵水位时，传感器将信号送给DDC控制器，DDC控制器启动相应的排污泵；当水位高于报警水位时，启动相应的备用泵，直到水位降至极限时停泵。</w:t>
      </w:r>
    </w:p>
    <w:p w14:paraId="3C01071C">
      <w:pPr>
        <w:numPr>
          <w:ilvl w:val="0"/>
          <w:numId w:val="16"/>
        </w:numPr>
        <w:spacing w:line="360" w:lineRule="auto"/>
        <w:ind w:left="845"/>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给排水监控系统水能耗计量</w:t>
      </w:r>
    </w:p>
    <w:p w14:paraId="1EA5E946">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智能建筑内用水量的计量，具体是指生活给水量的计量，所以只需测量大楼内的给水量便可。</w:t>
      </w:r>
    </w:p>
    <w:p w14:paraId="17653AE6">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在实际使用的给水监控系统中，增加了对给水流量的测量，DDC根据检测到的给水流量和采集间隔时间，可计算出给水量，并可以累积用水量，为绘制建筑用水负荷曲线及水费计算提供依据。</w:t>
      </w:r>
    </w:p>
    <w:p w14:paraId="1C14732D">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br w:type="page"/>
      </w:r>
    </w:p>
    <w:p w14:paraId="3716C78A">
      <w:pPr>
        <w:pStyle w:val="2"/>
        <w:bidi w:val="0"/>
        <w:rPr>
          <w:rFonts w:hint="eastAsia"/>
        </w:rPr>
      </w:pPr>
      <w:bookmarkStart w:id="38" w:name="_Toc503"/>
      <w:bookmarkStart w:id="39" w:name="_Toc9843"/>
      <w:r>
        <w:rPr>
          <w:rFonts w:hint="eastAsia"/>
        </w:rPr>
        <w:t>系统整体结构</w:t>
      </w:r>
      <w:bookmarkEnd w:id="38"/>
      <w:bookmarkEnd w:id="39"/>
    </w:p>
    <w:p w14:paraId="0645790A">
      <w:pPr>
        <w:pStyle w:val="3"/>
        <w:numPr>
          <w:ilvl w:val="0"/>
          <w:numId w:val="0"/>
        </w:numPr>
        <w:bidi w:val="0"/>
        <w:ind w:leftChars="0"/>
        <w:rPr>
          <w:rFonts w:hint="eastAsia"/>
        </w:rPr>
      </w:pPr>
      <w:bookmarkStart w:id="40" w:name="_Toc312692224"/>
      <w:bookmarkStart w:id="41" w:name="_Toc571"/>
      <w:bookmarkStart w:id="42" w:name="_Toc296285010"/>
      <w:bookmarkStart w:id="43" w:name="_Toc292897909"/>
      <w:bookmarkStart w:id="44" w:name="_Toc3689"/>
      <w:r>
        <w:rPr>
          <w:rFonts w:hint="eastAsia"/>
          <w:lang w:val="en-US" w:eastAsia="zh-CN"/>
        </w:rPr>
        <w:t>3.1</w:t>
      </w:r>
      <w:r>
        <w:rPr>
          <w:rFonts w:hint="eastAsia"/>
        </w:rPr>
        <w:t>系统功能架构</w:t>
      </w:r>
      <w:bookmarkEnd w:id="40"/>
      <w:bookmarkEnd w:id="41"/>
      <w:bookmarkEnd w:id="42"/>
      <w:bookmarkEnd w:id="43"/>
      <w:bookmarkEnd w:id="44"/>
    </w:p>
    <w:p w14:paraId="264B57C4">
      <w:pPr>
        <w:pStyle w:val="51"/>
        <w:jc w:val="left"/>
        <w:rPr>
          <w:rFonts w:hint="eastAsia" w:ascii="微软雅黑 Light" w:hAnsi="微软雅黑 Light" w:eastAsia="微软雅黑 Light" w:cs="微软雅黑 Light"/>
          <w:sz w:val="21"/>
          <w:szCs w:val="21"/>
        </w:rPr>
      </w:pPr>
      <w:bookmarkStart w:id="45" w:name="_Toc153730678"/>
      <w:r>
        <w:rPr>
          <w:rFonts w:hint="eastAsia" w:ascii="微软雅黑 Light" w:hAnsi="微软雅黑 Light" w:eastAsia="微软雅黑 Light" w:cs="微软雅黑 Light"/>
          <w:sz w:val="21"/>
          <w:szCs w:val="21"/>
        </w:rPr>
        <w:t>系统整体是构架在商业级技术平台上的多层分布式应用，采用分布式部署的多层架构设计，采用以能耗采终端为核心的前端采集系统。系统通过以下的层次结构完成应用功能：</w:t>
      </w:r>
    </w:p>
    <w:p w14:paraId="6A90EEBF">
      <w:pPr>
        <w:spacing w:line="360" w:lineRule="auto"/>
        <w:jc w:val="center"/>
        <w:rPr>
          <w:rFonts w:hint="eastAsia" w:ascii="微软雅黑 Light" w:hAnsi="微软雅黑 Light" w:eastAsia="微软雅黑 Light" w:cs="微软雅黑 Light"/>
          <w:sz w:val="21"/>
          <w:szCs w:val="21"/>
          <w:lang w:eastAsia="zh-CN"/>
        </w:rPr>
      </w:pPr>
      <w:r>
        <w:rPr>
          <w:rFonts w:hint="eastAsia" w:ascii="微软雅黑 Light" w:hAnsi="微软雅黑 Light" w:eastAsia="微软雅黑 Light" w:cs="微软雅黑 Light"/>
          <w:sz w:val="21"/>
          <w:szCs w:val="21"/>
          <w:lang w:eastAsia="zh-CN"/>
        </w:rPr>
        <w:drawing>
          <wp:inline distT="0" distB="0" distL="114300" distR="114300">
            <wp:extent cx="5791835" cy="5444490"/>
            <wp:effectExtent l="0" t="0" r="18415" b="3810"/>
            <wp:docPr id="4" name="图片 54" descr="能耗监控系统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4" descr="能耗监控系统图"/>
                    <pic:cNvPicPr>
                      <a:picLocks noChangeAspect="1"/>
                    </pic:cNvPicPr>
                  </pic:nvPicPr>
                  <pic:blipFill>
                    <a:blip r:embed="rId17"/>
                    <a:stretch>
                      <a:fillRect/>
                    </a:stretch>
                  </pic:blipFill>
                  <pic:spPr>
                    <a:xfrm>
                      <a:off x="0" y="0"/>
                      <a:ext cx="5791835" cy="5444490"/>
                    </a:xfrm>
                    <a:prstGeom prst="rect">
                      <a:avLst/>
                    </a:prstGeom>
                    <a:noFill/>
                    <a:ln>
                      <a:noFill/>
                    </a:ln>
                  </pic:spPr>
                </pic:pic>
              </a:graphicData>
            </a:graphic>
          </wp:inline>
        </w:drawing>
      </w:r>
    </w:p>
    <w:p w14:paraId="6492EB5D">
      <w:pPr>
        <w:spacing w:before="120" w:beforeLines="50" w:after="120" w:afterLines="50"/>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图3-2业务架构图</w:t>
      </w:r>
      <w:bookmarkEnd w:id="45"/>
    </w:p>
    <w:p w14:paraId="30FA9663">
      <w:pPr>
        <w:numPr>
          <w:ilvl w:val="0"/>
          <w:numId w:val="18"/>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系统依靠建筑能耗模型作为运行核心；</w:t>
      </w:r>
    </w:p>
    <w:p w14:paraId="2462A3A2">
      <w:pPr>
        <w:numPr>
          <w:ilvl w:val="0"/>
          <w:numId w:val="18"/>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数据采集层采用符合相关标准要求的建筑能耗采集终端，统一采集电能量表、水表等能量计量表计，并通过通讯网络稳定地传输到能耗监管中心；</w:t>
      </w:r>
    </w:p>
    <w:p w14:paraId="620A54AD">
      <w:pPr>
        <w:numPr>
          <w:ilvl w:val="0"/>
          <w:numId w:val="18"/>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通过能耗采集数据服务平台，并发与系统内各能耗采集终端进行实时数据通讯，完成对系统内能耗采集终端的管理，同时，采集数据服务平台向上为实时信息组件提供数据支撑；</w:t>
      </w:r>
    </w:p>
    <w:p w14:paraId="6FAF8FA7">
      <w:pPr>
        <w:numPr>
          <w:ilvl w:val="0"/>
          <w:numId w:val="18"/>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通过核心的实时信息组件，实时的完成数据存储和统计分析计算，并将计算结果存储至关系数据库中；</w:t>
      </w:r>
    </w:p>
    <w:p w14:paraId="45164CE1">
      <w:pPr>
        <w:numPr>
          <w:ilvl w:val="0"/>
          <w:numId w:val="18"/>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将数据库内的信息映射成上层业务易理解、易操作的对象；</w:t>
      </w:r>
    </w:p>
    <w:p w14:paraId="04844BE5">
      <w:pPr>
        <w:numPr>
          <w:ilvl w:val="0"/>
          <w:numId w:val="18"/>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以能耗模型为核心，实现可扩展、可配置的应用界面和用户交互，实现灵活多变的应用环境；</w:t>
      </w:r>
    </w:p>
    <w:p w14:paraId="30697F61">
      <w:pPr>
        <w:numPr>
          <w:ilvl w:val="0"/>
          <w:numId w:val="18"/>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基于</w:t>
      </w:r>
      <w:r>
        <w:rPr>
          <w:rFonts w:hint="eastAsia" w:ascii="微软雅黑 Light" w:hAnsi="微软雅黑 Light" w:cs="微软雅黑 Light"/>
          <w:sz w:val="21"/>
          <w:szCs w:val="21"/>
          <w:lang w:eastAsia="zh-CN"/>
        </w:rPr>
        <w:t>建筑能耗管理</w:t>
      </w:r>
      <w:r>
        <w:rPr>
          <w:rFonts w:hint="eastAsia" w:ascii="微软雅黑 Light" w:hAnsi="微软雅黑 Light" w:eastAsia="微软雅黑 Light" w:cs="微软雅黑 Light"/>
          <w:sz w:val="21"/>
          <w:szCs w:val="21"/>
        </w:rPr>
        <w:t>系统平台、图形化组件和实时信息组件，实现能耗监控、能耗监管与结算、能耗评价等应用子系统；</w:t>
      </w:r>
    </w:p>
    <w:p w14:paraId="4442B594">
      <w:pPr>
        <w:pStyle w:val="3"/>
        <w:numPr>
          <w:ilvl w:val="1"/>
          <w:numId w:val="0"/>
        </w:numPr>
        <w:bidi w:val="0"/>
        <w:ind w:left="0" w:leftChars="0" w:firstLine="0"/>
        <w:rPr>
          <w:rFonts w:hint="eastAsia" w:ascii="Arial" w:hAnsi="Arial" w:cs="Times New Roman"/>
          <w:lang w:val="en-US" w:eastAsia="zh-CN"/>
        </w:rPr>
      </w:pPr>
      <w:bookmarkStart w:id="46" w:name="_Toc292897910"/>
      <w:bookmarkStart w:id="47" w:name="_Toc272676769"/>
      <w:bookmarkStart w:id="48" w:name="_Toc14738"/>
      <w:bookmarkStart w:id="49" w:name="_Toc272317661"/>
      <w:bookmarkStart w:id="50" w:name="_Toc296285011"/>
      <w:bookmarkStart w:id="51" w:name="_Toc21914"/>
      <w:bookmarkStart w:id="52" w:name="_Toc312692225"/>
      <w:bookmarkStart w:id="53" w:name="_Toc225674442"/>
      <w:r>
        <w:rPr>
          <w:rFonts w:hint="eastAsia" w:ascii="Arial" w:hAnsi="Arial" w:cs="Times New Roman"/>
          <w:lang w:val="en-US" w:eastAsia="zh-CN"/>
        </w:rPr>
        <w:t>3.2系统拓扑结构</w:t>
      </w:r>
      <w:bookmarkEnd w:id="46"/>
      <w:bookmarkEnd w:id="47"/>
      <w:bookmarkEnd w:id="48"/>
      <w:bookmarkEnd w:id="49"/>
      <w:bookmarkEnd w:id="50"/>
      <w:bookmarkEnd w:id="51"/>
      <w:bookmarkEnd w:id="52"/>
      <w:bookmarkEnd w:id="53"/>
    </w:p>
    <w:p w14:paraId="1E97F1E0">
      <w:pPr>
        <w:spacing w:line="360" w:lineRule="auto"/>
        <w:jc w:val="center"/>
        <w:rPr>
          <w:rFonts w:hint="eastAsia" w:ascii="微软雅黑 Light" w:hAnsi="微软雅黑 Light" w:eastAsia="微软雅黑 Light" w:cs="微软雅黑 Light"/>
          <w:sz w:val="21"/>
          <w:szCs w:val="21"/>
        </w:rPr>
      </w:pPr>
      <w:bookmarkStart w:id="54" w:name="_Toc176940706"/>
      <w:r>
        <w:rPr>
          <w:rFonts w:hint="eastAsia" w:ascii="微软雅黑 Light" w:hAnsi="微软雅黑 Light" w:eastAsia="微软雅黑 Light" w:cs="微软雅黑 Light"/>
          <w:sz w:val="21"/>
          <w:szCs w:val="21"/>
        </w:rPr>
        <w:drawing>
          <wp:inline distT="0" distB="0" distL="114300" distR="114300">
            <wp:extent cx="5441315" cy="3448685"/>
            <wp:effectExtent l="0" t="0" r="6985" b="18415"/>
            <wp:docPr id="5" name="图片 4" descr="网络拓扑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网络拓扑图"/>
                    <pic:cNvPicPr>
                      <a:picLocks noChangeAspect="1"/>
                    </pic:cNvPicPr>
                  </pic:nvPicPr>
                  <pic:blipFill>
                    <a:blip r:embed="rId18"/>
                    <a:stretch>
                      <a:fillRect/>
                    </a:stretch>
                  </pic:blipFill>
                  <pic:spPr>
                    <a:xfrm>
                      <a:off x="0" y="0"/>
                      <a:ext cx="5441315" cy="3448685"/>
                    </a:xfrm>
                    <a:prstGeom prst="rect">
                      <a:avLst/>
                    </a:prstGeom>
                    <a:noFill/>
                    <a:ln>
                      <a:noFill/>
                    </a:ln>
                  </pic:spPr>
                </pic:pic>
              </a:graphicData>
            </a:graphic>
          </wp:inline>
        </w:drawing>
      </w:r>
    </w:p>
    <w:p w14:paraId="7EC5D448">
      <w:pPr>
        <w:spacing w:before="120" w:beforeLines="50" w:after="120" w:afterLines="50"/>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图3-3整体拓扑结构图</w:t>
      </w:r>
    </w:p>
    <w:p w14:paraId="5842CE49">
      <w:pPr>
        <w:numPr>
          <w:ilvl w:val="0"/>
          <w:numId w:val="19"/>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根据的实际情况，对建筑内各栋建筑能源供应系统进行改造，增加智能电表、智能水表等仪表，并通过数据采集终端，采集建筑物能耗数据并传输给各楼层级网络交换机，最后通过内部办公网络汇入到数据服务器。</w:t>
      </w:r>
    </w:p>
    <w:p w14:paraId="1951FEFB">
      <w:pPr>
        <w:numPr>
          <w:ilvl w:val="0"/>
          <w:numId w:val="19"/>
        </w:numPr>
        <w:tabs>
          <w:tab w:val="left" w:pos="1560"/>
          <w:tab w:val="left" w:pos="1985"/>
        </w:tabs>
        <w:spacing w:line="360" w:lineRule="auto"/>
        <w:ind w:firstLine="495" w:firstLineChars="236"/>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能耗监管中心统计与分析建筑内所有的能耗数据，形成能源使用计划，进行能耗指标分析，开展能耗审计，并根据审计结果优化能耗使用情况，最终达到节能目的。</w:t>
      </w:r>
    </w:p>
    <w:bookmarkEnd w:id="54"/>
    <w:p w14:paraId="11578250">
      <w:pPr>
        <w:pStyle w:val="2"/>
        <w:bidi w:val="0"/>
        <w:rPr>
          <w:rFonts w:hint="eastAsia"/>
        </w:rPr>
      </w:pPr>
      <w:bookmarkStart w:id="55" w:name="_Toc16144"/>
      <w:bookmarkStart w:id="56" w:name="_Toc6536"/>
      <w:r>
        <w:rPr>
          <w:rFonts w:hint="eastAsia"/>
        </w:rPr>
        <w:t>软件系统介绍</w:t>
      </w:r>
      <w:bookmarkEnd w:id="55"/>
      <w:bookmarkEnd w:id="56"/>
    </w:p>
    <w:p w14:paraId="701273E1">
      <w:pPr>
        <w:pStyle w:val="3"/>
        <w:numPr>
          <w:ilvl w:val="0"/>
          <w:numId w:val="0"/>
        </w:numPr>
        <w:bidi w:val="0"/>
        <w:ind w:leftChars="0"/>
        <w:rPr>
          <w:rFonts w:hint="eastAsia"/>
        </w:rPr>
      </w:pPr>
      <w:bookmarkStart w:id="57" w:name="_Toc23788"/>
      <w:bookmarkStart w:id="58" w:name="_Toc32013"/>
      <w:bookmarkStart w:id="59" w:name="_Toc312692228"/>
      <w:bookmarkStart w:id="60" w:name="_Toc22031"/>
      <w:r>
        <w:rPr>
          <w:rFonts w:hint="eastAsia"/>
          <w:lang w:val="en-US" w:eastAsia="zh-CN"/>
        </w:rPr>
        <w:t>4.1</w:t>
      </w:r>
      <w:r>
        <w:rPr>
          <w:rFonts w:hint="eastAsia"/>
        </w:rPr>
        <w:t>能耗在线监测子系统</w:t>
      </w:r>
      <w:bookmarkEnd w:id="57"/>
      <w:bookmarkEnd w:id="58"/>
      <w:bookmarkEnd w:id="59"/>
      <w:bookmarkEnd w:id="60"/>
    </w:p>
    <w:p w14:paraId="28202020">
      <w:pPr>
        <w:pStyle w:val="49"/>
        <w:rPr>
          <w:rFonts w:hint="eastAsia" w:ascii="微软雅黑 Light" w:hAnsi="微软雅黑 Light" w:eastAsia="微软雅黑 Light" w:cs="微软雅黑 Light"/>
          <w:kern w:val="0"/>
          <w:sz w:val="21"/>
          <w:szCs w:val="21"/>
        </w:rPr>
      </w:pPr>
      <w:r>
        <w:rPr>
          <w:rFonts w:hint="eastAsia" w:ascii="微软雅黑 Light" w:hAnsi="微软雅黑 Light" w:eastAsia="微软雅黑 Light" w:cs="微软雅黑 Light"/>
          <w:kern w:val="0"/>
          <w:sz w:val="21"/>
          <w:szCs w:val="21"/>
        </w:rPr>
        <w:t>能耗在线监测子系统可以展示包含用能总量、同类建筑用能、详细用能动态数据分析展示等功能。能耗在线监测子系统可以图形化显示所在城市的温度、湿度、风速等气象数据信息。界面采用直观的图形化界面（柱状图、饼图、仪表盘等呈现方式）来展示能耗数据。系统查询</w:t>
      </w:r>
      <w:r>
        <w:rPr>
          <w:rFonts w:hint="eastAsia" w:ascii="微软雅黑 Light" w:hAnsi="微软雅黑 Light" w:eastAsia="微软雅黑 Light" w:cs="微软雅黑 Light"/>
          <w:color w:val="000000"/>
          <w:kern w:val="0"/>
          <w:sz w:val="21"/>
          <w:szCs w:val="21"/>
        </w:rPr>
        <w:t>用能项属性</w:t>
      </w:r>
      <w:r>
        <w:rPr>
          <w:rFonts w:hint="eastAsia" w:ascii="微软雅黑 Light" w:hAnsi="微软雅黑 Light" w:eastAsia="微软雅黑 Light" w:cs="微软雅黑 Light"/>
          <w:kern w:val="0"/>
          <w:sz w:val="21"/>
          <w:szCs w:val="21"/>
        </w:rPr>
        <w:t>、分组实时值、分组历史值、同类建筑单位面积分项用能以及自定义建筑用能等。</w:t>
      </w:r>
    </w:p>
    <w:p w14:paraId="4CD147A1">
      <w:pPr>
        <w:pStyle w:val="4"/>
        <w:bidi w:val="0"/>
        <w:rPr>
          <w:rFonts w:hint="eastAsia"/>
        </w:rPr>
      </w:pPr>
      <w:bookmarkStart w:id="61" w:name="_Toc225674475"/>
      <w:bookmarkStart w:id="62" w:name="_Toc225615390"/>
      <w:bookmarkStart w:id="63" w:name="_Toc622"/>
      <w:bookmarkStart w:id="64" w:name="_Toc18501"/>
      <w:r>
        <w:rPr>
          <w:rFonts w:hint="eastAsia"/>
        </w:rPr>
        <w:t>4.1.1建筑用能监</w:t>
      </w:r>
      <w:bookmarkEnd w:id="61"/>
      <w:bookmarkEnd w:id="62"/>
      <w:r>
        <w:rPr>
          <w:rFonts w:hint="eastAsia"/>
        </w:rPr>
        <w:t>测</w:t>
      </w:r>
      <w:bookmarkEnd w:id="63"/>
      <w:bookmarkEnd w:id="64"/>
    </w:p>
    <w:p w14:paraId="41713A0F">
      <w:pPr>
        <w:numPr>
          <w:ilvl w:val="0"/>
          <w:numId w:val="20"/>
        </w:numPr>
        <w:spacing w:line="360" w:lineRule="auto"/>
        <w:ind w:left="840"/>
        <w:rPr>
          <w:rFonts w:hint="eastAsia" w:ascii="微软雅黑 Light" w:hAnsi="微软雅黑 Light" w:eastAsia="微软雅黑 Light" w:cs="微软雅黑 Light"/>
          <w:b/>
          <w:sz w:val="21"/>
          <w:szCs w:val="21"/>
        </w:rPr>
      </w:pPr>
      <w:r>
        <w:rPr>
          <w:rFonts w:hint="eastAsia" w:ascii="微软雅黑 Light" w:hAnsi="微软雅黑 Light" w:eastAsia="微软雅黑 Light" w:cs="微软雅黑 Light"/>
          <w:b/>
          <w:sz w:val="21"/>
          <w:szCs w:val="21"/>
        </w:rPr>
        <w:t>能耗监控总貌</w:t>
      </w:r>
    </w:p>
    <w:p w14:paraId="11AF48EB">
      <w:pPr>
        <w:spacing w:line="360" w:lineRule="auto"/>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drawing>
          <wp:inline distT="0" distB="0" distL="114300" distR="114300">
            <wp:extent cx="5566410" cy="2639060"/>
            <wp:effectExtent l="0" t="0" r="15240" b="8890"/>
            <wp:docPr id="6" name="图片 5"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图片4"/>
                    <pic:cNvPicPr>
                      <a:picLocks noChangeAspect="1"/>
                    </pic:cNvPicPr>
                  </pic:nvPicPr>
                  <pic:blipFill>
                    <a:blip r:embed="rId19"/>
                    <a:stretch>
                      <a:fillRect/>
                    </a:stretch>
                  </pic:blipFill>
                  <pic:spPr>
                    <a:xfrm>
                      <a:off x="0" y="0"/>
                      <a:ext cx="5566410" cy="2639060"/>
                    </a:xfrm>
                    <a:prstGeom prst="rect">
                      <a:avLst/>
                    </a:prstGeom>
                    <a:noFill/>
                    <a:ln>
                      <a:noFill/>
                    </a:ln>
                  </pic:spPr>
                </pic:pic>
              </a:graphicData>
            </a:graphic>
          </wp:inline>
        </w:drawing>
      </w:r>
    </w:p>
    <w:p w14:paraId="4C918F6B">
      <w:pPr>
        <w:spacing w:after="100" w:afterAutospacing="1" w:line="360" w:lineRule="auto"/>
        <w:jc w:val="center"/>
        <w:rPr>
          <w:rFonts w:hint="eastAsia" w:ascii="微软雅黑 Light" w:hAnsi="微软雅黑 Light" w:eastAsia="微软雅黑 Light" w:cs="微软雅黑 Light"/>
          <w:kern w:val="0"/>
          <w:sz w:val="21"/>
          <w:szCs w:val="21"/>
        </w:rPr>
      </w:pPr>
      <w:r>
        <w:rPr>
          <w:rFonts w:hint="eastAsia" w:ascii="微软雅黑 Light" w:hAnsi="微软雅黑 Light" w:eastAsia="微软雅黑 Light" w:cs="微软雅黑 Light"/>
          <w:sz w:val="21"/>
          <w:szCs w:val="21"/>
        </w:rPr>
        <w:t>图4-1能耗监控总貌</w:t>
      </w:r>
    </w:p>
    <w:p w14:paraId="3443A868">
      <w:pPr>
        <w:numPr>
          <w:ilvl w:val="0"/>
          <w:numId w:val="20"/>
        </w:numPr>
        <w:spacing w:line="360" w:lineRule="auto"/>
        <w:ind w:left="840"/>
        <w:rPr>
          <w:rFonts w:hint="eastAsia" w:ascii="微软雅黑 Light" w:hAnsi="微软雅黑 Light" w:eastAsia="微软雅黑 Light" w:cs="微软雅黑 Light"/>
          <w:b/>
          <w:sz w:val="21"/>
          <w:szCs w:val="21"/>
        </w:rPr>
      </w:pPr>
      <w:r>
        <w:rPr>
          <w:rFonts w:hint="eastAsia" w:ascii="微软雅黑 Light" w:hAnsi="微软雅黑 Light" w:eastAsia="微软雅黑 Light" w:cs="微软雅黑 Light"/>
          <w:b/>
          <w:sz w:val="21"/>
          <w:szCs w:val="21"/>
        </w:rPr>
        <w:t>图形化能耗监控</w:t>
      </w:r>
    </w:p>
    <w:p w14:paraId="67AE36A9">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界面采用直观的图形化界面（柱状图、饼图、仪表盘等呈现方式）来监控能耗数据，支持逐时、逐日、逐月、逐季、逐年监控画面之间的自由切换。</w:t>
      </w:r>
    </w:p>
    <w:p w14:paraId="742509BA">
      <w:pPr>
        <w:spacing w:line="360" w:lineRule="auto"/>
        <w:rPr>
          <w:rFonts w:hint="eastAsia" w:ascii="微软雅黑 Light" w:hAnsi="微软雅黑 Light" w:eastAsia="微软雅黑 Light" w:cs="微软雅黑 Light"/>
          <w:sz w:val="21"/>
          <w:szCs w:val="21"/>
          <w:lang w:eastAsia="zh-CN"/>
        </w:rPr>
      </w:pPr>
      <w:r>
        <w:rPr>
          <w:rFonts w:hint="eastAsia" w:ascii="微软雅黑 Light" w:hAnsi="微软雅黑 Light" w:eastAsia="微软雅黑 Light" w:cs="微软雅黑 Light"/>
          <w:sz w:val="21"/>
          <w:szCs w:val="21"/>
          <w:lang w:eastAsia="zh-CN"/>
        </w:rPr>
        <w:drawing>
          <wp:inline distT="0" distB="0" distL="114300" distR="114300">
            <wp:extent cx="5797550" cy="3260725"/>
            <wp:effectExtent l="0" t="0" r="12700" b="15875"/>
            <wp:docPr id="7" name="图片 57" descr="能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7" descr="能效"/>
                    <pic:cNvPicPr>
                      <a:picLocks noChangeAspect="1"/>
                    </pic:cNvPicPr>
                  </pic:nvPicPr>
                  <pic:blipFill>
                    <a:blip r:embed="rId20"/>
                    <a:stretch>
                      <a:fillRect/>
                    </a:stretch>
                  </pic:blipFill>
                  <pic:spPr>
                    <a:xfrm>
                      <a:off x="0" y="0"/>
                      <a:ext cx="5797550" cy="3260725"/>
                    </a:xfrm>
                    <a:prstGeom prst="rect">
                      <a:avLst/>
                    </a:prstGeom>
                    <a:noFill/>
                    <a:ln>
                      <a:noFill/>
                    </a:ln>
                  </pic:spPr>
                </pic:pic>
              </a:graphicData>
            </a:graphic>
          </wp:inline>
        </w:drawing>
      </w:r>
    </w:p>
    <w:p w14:paraId="243E99D3">
      <w:pPr>
        <w:spacing w:line="360" w:lineRule="auto"/>
        <w:rPr>
          <w:rFonts w:hint="eastAsia" w:ascii="微软雅黑 Light" w:hAnsi="微软雅黑 Light" w:eastAsia="微软雅黑 Light" w:cs="微软雅黑 Light"/>
          <w:sz w:val="21"/>
          <w:szCs w:val="21"/>
          <w:lang w:eastAsia="zh-CN"/>
        </w:rPr>
      </w:pPr>
    </w:p>
    <w:p w14:paraId="2B175005">
      <w:pPr>
        <w:spacing w:line="360" w:lineRule="auto"/>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drawing>
          <wp:inline distT="0" distB="0" distL="114300" distR="114300">
            <wp:extent cx="5441950" cy="2358390"/>
            <wp:effectExtent l="0" t="0" r="6350" b="3810"/>
            <wp:docPr id="8" name="图片 56"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6" descr="图片1"/>
                    <pic:cNvPicPr>
                      <a:picLocks noChangeAspect="1"/>
                    </pic:cNvPicPr>
                  </pic:nvPicPr>
                  <pic:blipFill>
                    <a:blip r:embed="rId21"/>
                    <a:stretch>
                      <a:fillRect/>
                    </a:stretch>
                  </pic:blipFill>
                  <pic:spPr>
                    <a:xfrm>
                      <a:off x="0" y="0"/>
                      <a:ext cx="5441950" cy="2358390"/>
                    </a:xfrm>
                    <a:prstGeom prst="rect">
                      <a:avLst/>
                    </a:prstGeom>
                    <a:noFill/>
                    <a:ln>
                      <a:noFill/>
                    </a:ln>
                  </pic:spPr>
                </pic:pic>
              </a:graphicData>
            </a:graphic>
          </wp:inline>
        </w:drawing>
      </w:r>
      <w:r>
        <w:rPr>
          <w:rFonts w:hint="eastAsia" w:ascii="微软雅黑 Light" w:hAnsi="微软雅黑 Light" w:eastAsia="微软雅黑 Light" w:cs="微软雅黑 Light"/>
          <w:sz w:val="21"/>
          <w:szCs w:val="21"/>
        </w:rPr>
        <w:drawing>
          <wp:inline distT="0" distB="0" distL="114300" distR="114300">
            <wp:extent cx="5441950" cy="2802255"/>
            <wp:effectExtent l="0" t="0" r="6350" b="17145"/>
            <wp:docPr id="9" name="图片 9"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4"/>
                    <pic:cNvPicPr>
                      <a:picLocks noChangeAspect="1"/>
                    </pic:cNvPicPr>
                  </pic:nvPicPr>
                  <pic:blipFill>
                    <a:blip r:embed="rId22"/>
                    <a:stretch>
                      <a:fillRect/>
                    </a:stretch>
                  </pic:blipFill>
                  <pic:spPr>
                    <a:xfrm>
                      <a:off x="0" y="0"/>
                      <a:ext cx="5441950" cy="2802255"/>
                    </a:xfrm>
                    <a:prstGeom prst="rect">
                      <a:avLst/>
                    </a:prstGeom>
                    <a:noFill/>
                    <a:ln>
                      <a:noFill/>
                    </a:ln>
                  </pic:spPr>
                </pic:pic>
              </a:graphicData>
            </a:graphic>
          </wp:inline>
        </w:drawing>
      </w:r>
    </w:p>
    <w:p w14:paraId="43091F75">
      <w:pPr>
        <w:spacing w:before="120" w:beforeLines="50" w:after="120" w:afterLines="50"/>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图4-2能耗监测图形化控件</w:t>
      </w:r>
    </w:p>
    <w:p w14:paraId="2472C7CE">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图形用能监控内容如下：</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5"/>
        <w:gridCol w:w="537"/>
        <w:gridCol w:w="1848"/>
        <w:gridCol w:w="4170"/>
        <w:gridCol w:w="1245"/>
      </w:tblGrid>
      <w:tr w14:paraId="18E21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5" w:type="dxa"/>
            <w:shd w:val="clear" w:color="auto" w:fill="0000FF"/>
            <w:noWrap w:val="0"/>
            <w:vAlign w:val="center"/>
          </w:tcPr>
          <w:p w14:paraId="4162D9F3">
            <w:pPr>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序号</w:t>
            </w:r>
          </w:p>
        </w:tc>
        <w:tc>
          <w:tcPr>
            <w:tcW w:w="2385" w:type="dxa"/>
            <w:gridSpan w:val="2"/>
            <w:shd w:val="clear" w:color="auto" w:fill="0000FF"/>
            <w:noWrap w:val="0"/>
            <w:vAlign w:val="center"/>
          </w:tcPr>
          <w:p w14:paraId="29189E3E">
            <w:pPr>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用能监控内容</w:t>
            </w:r>
          </w:p>
        </w:tc>
        <w:tc>
          <w:tcPr>
            <w:tcW w:w="4170" w:type="dxa"/>
            <w:shd w:val="clear" w:color="auto" w:fill="0000FF"/>
            <w:noWrap w:val="0"/>
            <w:vAlign w:val="center"/>
          </w:tcPr>
          <w:p w14:paraId="42A26EE3">
            <w:pPr>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描述</w:t>
            </w:r>
          </w:p>
        </w:tc>
        <w:tc>
          <w:tcPr>
            <w:tcW w:w="1245" w:type="dxa"/>
            <w:shd w:val="clear" w:color="auto" w:fill="0000FF"/>
            <w:noWrap w:val="0"/>
            <w:vAlign w:val="center"/>
          </w:tcPr>
          <w:p w14:paraId="156DD4E6">
            <w:pPr>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呈现方式</w:t>
            </w:r>
          </w:p>
        </w:tc>
      </w:tr>
      <w:tr w14:paraId="26F46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5" w:type="dxa"/>
            <w:noWrap w:val="0"/>
            <w:vAlign w:val="center"/>
          </w:tcPr>
          <w:p w14:paraId="5B7106F7">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1</w:t>
            </w:r>
          </w:p>
        </w:tc>
        <w:tc>
          <w:tcPr>
            <w:tcW w:w="537" w:type="dxa"/>
            <w:vMerge w:val="restart"/>
            <w:noWrap w:val="0"/>
            <w:vAlign w:val="center"/>
          </w:tcPr>
          <w:p w14:paraId="54DB521B">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总量监控</w:t>
            </w:r>
          </w:p>
        </w:tc>
        <w:tc>
          <w:tcPr>
            <w:tcW w:w="1848" w:type="dxa"/>
            <w:noWrap w:val="0"/>
            <w:vAlign w:val="center"/>
          </w:tcPr>
          <w:p w14:paraId="28AC58DD">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建筑用能总量监控</w:t>
            </w:r>
          </w:p>
        </w:tc>
        <w:tc>
          <w:tcPr>
            <w:tcW w:w="4170" w:type="dxa"/>
            <w:noWrap w:val="0"/>
            <w:vAlign w:val="center"/>
          </w:tcPr>
          <w:p w14:paraId="146570E3">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监控水、电、汽、气的当日（月、季、年）消耗总量</w:t>
            </w:r>
          </w:p>
        </w:tc>
        <w:tc>
          <w:tcPr>
            <w:tcW w:w="1245" w:type="dxa"/>
            <w:noWrap w:val="0"/>
            <w:vAlign w:val="center"/>
          </w:tcPr>
          <w:p w14:paraId="451C904A">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饼图</w:t>
            </w:r>
          </w:p>
        </w:tc>
      </w:tr>
      <w:tr w14:paraId="163B0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5" w:type="dxa"/>
            <w:noWrap w:val="0"/>
            <w:vAlign w:val="center"/>
          </w:tcPr>
          <w:p w14:paraId="44A53E6B">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2</w:t>
            </w:r>
          </w:p>
        </w:tc>
        <w:tc>
          <w:tcPr>
            <w:tcW w:w="537" w:type="dxa"/>
            <w:vMerge w:val="continue"/>
            <w:noWrap w:val="0"/>
            <w:vAlign w:val="center"/>
          </w:tcPr>
          <w:p w14:paraId="4F34CA01">
            <w:pPr>
              <w:rPr>
                <w:rFonts w:hint="eastAsia" w:ascii="微软雅黑 Light" w:hAnsi="微软雅黑 Light" w:eastAsia="微软雅黑 Light" w:cs="微软雅黑 Light"/>
                <w:sz w:val="21"/>
                <w:szCs w:val="21"/>
              </w:rPr>
            </w:pPr>
          </w:p>
        </w:tc>
        <w:tc>
          <w:tcPr>
            <w:tcW w:w="1848" w:type="dxa"/>
            <w:noWrap w:val="0"/>
            <w:vAlign w:val="center"/>
          </w:tcPr>
          <w:p w14:paraId="52563531">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耗能单位用能总量监控</w:t>
            </w:r>
          </w:p>
        </w:tc>
        <w:tc>
          <w:tcPr>
            <w:tcW w:w="4170" w:type="dxa"/>
            <w:noWrap w:val="0"/>
            <w:vAlign w:val="center"/>
          </w:tcPr>
          <w:p w14:paraId="058D10A8">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监控水、电、汽、气的当日（月、季、年）消耗总量以及人均消耗量</w:t>
            </w:r>
          </w:p>
        </w:tc>
        <w:tc>
          <w:tcPr>
            <w:tcW w:w="1245" w:type="dxa"/>
            <w:noWrap w:val="0"/>
            <w:vAlign w:val="center"/>
          </w:tcPr>
          <w:p w14:paraId="0596F555">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柱状图、饼图</w:t>
            </w:r>
          </w:p>
        </w:tc>
      </w:tr>
      <w:tr w14:paraId="65D60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585" w:type="dxa"/>
            <w:noWrap w:val="0"/>
            <w:vAlign w:val="center"/>
          </w:tcPr>
          <w:p w14:paraId="363F8543">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3</w:t>
            </w:r>
          </w:p>
        </w:tc>
        <w:tc>
          <w:tcPr>
            <w:tcW w:w="537" w:type="dxa"/>
            <w:vMerge w:val="restart"/>
            <w:noWrap w:val="0"/>
            <w:vAlign w:val="center"/>
          </w:tcPr>
          <w:p w14:paraId="7F1994F6">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建筑类型</w:t>
            </w:r>
          </w:p>
        </w:tc>
        <w:tc>
          <w:tcPr>
            <w:tcW w:w="1848" w:type="dxa"/>
            <w:noWrap w:val="0"/>
            <w:vAlign w:val="center"/>
          </w:tcPr>
          <w:p w14:paraId="0AC2D7C8">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办公楼用能监控</w:t>
            </w:r>
          </w:p>
        </w:tc>
        <w:tc>
          <w:tcPr>
            <w:tcW w:w="4170" w:type="dxa"/>
            <w:noWrap w:val="0"/>
            <w:vAlign w:val="center"/>
          </w:tcPr>
          <w:p w14:paraId="4EE37B35">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监控办公楼水、电、汽、气消耗总量及人均消耗量</w:t>
            </w:r>
          </w:p>
        </w:tc>
        <w:tc>
          <w:tcPr>
            <w:tcW w:w="1245" w:type="dxa"/>
            <w:noWrap w:val="0"/>
            <w:vAlign w:val="center"/>
          </w:tcPr>
          <w:p w14:paraId="1A900877">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柱状图、饼图</w:t>
            </w:r>
          </w:p>
        </w:tc>
      </w:tr>
      <w:tr w14:paraId="645FD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585" w:type="dxa"/>
            <w:noWrap w:val="0"/>
            <w:vAlign w:val="center"/>
          </w:tcPr>
          <w:p w14:paraId="1B2E26A7">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4</w:t>
            </w:r>
          </w:p>
        </w:tc>
        <w:tc>
          <w:tcPr>
            <w:tcW w:w="537" w:type="dxa"/>
            <w:vMerge w:val="continue"/>
            <w:noWrap w:val="0"/>
            <w:vAlign w:val="center"/>
          </w:tcPr>
          <w:p w14:paraId="259E2073">
            <w:pPr>
              <w:rPr>
                <w:rFonts w:hint="eastAsia" w:ascii="微软雅黑 Light" w:hAnsi="微软雅黑 Light" w:eastAsia="微软雅黑 Light" w:cs="微软雅黑 Light"/>
                <w:sz w:val="21"/>
                <w:szCs w:val="21"/>
              </w:rPr>
            </w:pPr>
          </w:p>
        </w:tc>
        <w:tc>
          <w:tcPr>
            <w:tcW w:w="1848" w:type="dxa"/>
            <w:noWrap w:val="0"/>
            <w:vAlign w:val="center"/>
          </w:tcPr>
          <w:p w14:paraId="45947D81">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厂房用能监控</w:t>
            </w:r>
          </w:p>
        </w:tc>
        <w:tc>
          <w:tcPr>
            <w:tcW w:w="4170" w:type="dxa"/>
            <w:noWrap w:val="0"/>
            <w:vAlign w:val="center"/>
          </w:tcPr>
          <w:p w14:paraId="62F51322">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监控厂房工业用水、电、汽、气消耗总量及人均消耗量</w:t>
            </w:r>
          </w:p>
        </w:tc>
        <w:tc>
          <w:tcPr>
            <w:tcW w:w="1245" w:type="dxa"/>
            <w:noWrap w:val="0"/>
            <w:vAlign w:val="center"/>
          </w:tcPr>
          <w:p w14:paraId="3D99E926">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柱状图、饼图</w:t>
            </w:r>
          </w:p>
        </w:tc>
      </w:tr>
      <w:tr w14:paraId="0D923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85" w:type="dxa"/>
            <w:noWrap w:val="0"/>
            <w:vAlign w:val="center"/>
          </w:tcPr>
          <w:p w14:paraId="0C5D09AD">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5</w:t>
            </w:r>
          </w:p>
        </w:tc>
        <w:tc>
          <w:tcPr>
            <w:tcW w:w="537" w:type="dxa"/>
            <w:vMerge w:val="continue"/>
            <w:noWrap w:val="0"/>
            <w:vAlign w:val="center"/>
          </w:tcPr>
          <w:p w14:paraId="4469AD8C">
            <w:pPr>
              <w:rPr>
                <w:rFonts w:hint="eastAsia" w:ascii="微软雅黑 Light" w:hAnsi="微软雅黑 Light" w:eastAsia="微软雅黑 Light" w:cs="微软雅黑 Light"/>
                <w:sz w:val="21"/>
                <w:szCs w:val="21"/>
              </w:rPr>
            </w:pPr>
          </w:p>
        </w:tc>
        <w:tc>
          <w:tcPr>
            <w:tcW w:w="1848" w:type="dxa"/>
            <w:noWrap w:val="0"/>
            <w:vAlign w:val="center"/>
          </w:tcPr>
          <w:p w14:paraId="48F38FF5">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公共建筑用能监控</w:t>
            </w:r>
          </w:p>
        </w:tc>
        <w:tc>
          <w:tcPr>
            <w:tcW w:w="4170" w:type="dxa"/>
            <w:noWrap w:val="0"/>
            <w:vAlign w:val="center"/>
          </w:tcPr>
          <w:p w14:paraId="5B36A7EB">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监控公共建筑用水、电、汽、气消耗总量及人均消耗量</w:t>
            </w:r>
          </w:p>
        </w:tc>
        <w:tc>
          <w:tcPr>
            <w:tcW w:w="1245" w:type="dxa"/>
            <w:noWrap w:val="0"/>
            <w:vAlign w:val="center"/>
          </w:tcPr>
          <w:p w14:paraId="19CB5AF4">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柱状图、饼图</w:t>
            </w:r>
          </w:p>
        </w:tc>
      </w:tr>
      <w:tr w14:paraId="0C4ED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5" w:type="dxa"/>
            <w:noWrap w:val="0"/>
            <w:vAlign w:val="center"/>
          </w:tcPr>
          <w:p w14:paraId="7B88AA96">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6</w:t>
            </w:r>
          </w:p>
        </w:tc>
        <w:tc>
          <w:tcPr>
            <w:tcW w:w="537" w:type="dxa"/>
            <w:vMerge w:val="restart"/>
            <w:noWrap w:val="0"/>
            <w:vAlign w:val="center"/>
          </w:tcPr>
          <w:p w14:paraId="369CBDBC">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建筑年代</w:t>
            </w:r>
          </w:p>
        </w:tc>
        <w:tc>
          <w:tcPr>
            <w:tcW w:w="1848" w:type="dxa"/>
            <w:noWrap w:val="0"/>
            <w:vAlign w:val="center"/>
          </w:tcPr>
          <w:p w14:paraId="61C4BD41">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80年代</w:t>
            </w:r>
          </w:p>
        </w:tc>
        <w:tc>
          <w:tcPr>
            <w:tcW w:w="4170" w:type="dxa"/>
            <w:noWrap w:val="0"/>
            <w:vAlign w:val="center"/>
          </w:tcPr>
          <w:p w14:paraId="708EF07E">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归类监控80年代的建筑的用能情况</w:t>
            </w:r>
          </w:p>
        </w:tc>
        <w:tc>
          <w:tcPr>
            <w:tcW w:w="1245" w:type="dxa"/>
            <w:noWrap w:val="0"/>
            <w:vAlign w:val="center"/>
          </w:tcPr>
          <w:p w14:paraId="0D5B16F0">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柱状图</w:t>
            </w:r>
          </w:p>
        </w:tc>
      </w:tr>
      <w:tr w14:paraId="28FCA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85" w:type="dxa"/>
            <w:noWrap w:val="0"/>
            <w:vAlign w:val="center"/>
          </w:tcPr>
          <w:p w14:paraId="495956A5">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7</w:t>
            </w:r>
          </w:p>
        </w:tc>
        <w:tc>
          <w:tcPr>
            <w:tcW w:w="537" w:type="dxa"/>
            <w:vMerge w:val="continue"/>
            <w:noWrap w:val="0"/>
            <w:vAlign w:val="center"/>
          </w:tcPr>
          <w:p w14:paraId="0ACA7A54">
            <w:pPr>
              <w:rPr>
                <w:rFonts w:hint="eastAsia" w:ascii="微软雅黑 Light" w:hAnsi="微软雅黑 Light" w:eastAsia="微软雅黑 Light" w:cs="微软雅黑 Light"/>
                <w:sz w:val="21"/>
                <w:szCs w:val="21"/>
              </w:rPr>
            </w:pPr>
          </w:p>
        </w:tc>
        <w:tc>
          <w:tcPr>
            <w:tcW w:w="1848" w:type="dxa"/>
            <w:noWrap w:val="0"/>
            <w:vAlign w:val="center"/>
          </w:tcPr>
          <w:p w14:paraId="62B47DDD">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90年代</w:t>
            </w:r>
          </w:p>
        </w:tc>
        <w:tc>
          <w:tcPr>
            <w:tcW w:w="4170" w:type="dxa"/>
            <w:noWrap w:val="0"/>
            <w:vAlign w:val="center"/>
          </w:tcPr>
          <w:p w14:paraId="43530837">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归类监控90年代的建筑的用能情况</w:t>
            </w:r>
          </w:p>
        </w:tc>
        <w:tc>
          <w:tcPr>
            <w:tcW w:w="1245" w:type="dxa"/>
            <w:noWrap w:val="0"/>
            <w:vAlign w:val="center"/>
          </w:tcPr>
          <w:p w14:paraId="490292A3">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柱状图</w:t>
            </w:r>
          </w:p>
        </w:tc>
      </w:tr>
      <w:tr w14:paraId="7071C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85" w:type="dxa"/>
            <w:noWrap w:val="0"/>
            <w:vAlign w:val="center"/>
          </w:tcPr>
          <w:p w14:paraId="282FB115">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8</w:t>
            </w:r>
          </w:p>
        </w:tc>
        <w:tc>
          <w:tcPr>
            <w:tcW w:w="537" w:type="dxa"/>
            <w:vMerge w:val="continue"/>
            <w:noWrap w:val="0"/>
            <w:vAlign w:val="center"/>
          </w:tcPr>
          <w:p w14:paraId="28EF697D">
            <w:pPr>
              <w:rPr>
                <w:rFonts w:hint="eastAsia" w:ascii="微软雅黑 Light" w:hAnsi="微软雅黑 Light" w:eastAsia="微软雅黑 Light" w:cs="微软雅黑 Light"/>
                <w:sz w:val="21"/>
                <w:szCs w:val="21"/>
              </w:rPr>
            </w:pPr>
          </w:p>
        </w:tc>
        <w:tc>
          <w:tcPr>
            <w:tcW w:w="1848" w:type="dxa"/>
            <w:noWrap w:val="0"/>
            <w:vAlign w:val="center"/>
          </w:tcPr>
          <w:p w14:paraId="0069BE4C">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2000年以后</w:t>
            </w:r>
          </w:p>
        </w:tc>
        <w:tc>
          <w:tcPr>
            <w:tcW w:w="4170" w:type="dxa"/>
            <w:noWrap w:val="0"/>
            <w:vAlign w:val="center"/>
          </w:tcPr>
          <w:p w14:paraId="3366E298">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归类监控2000年以后的建筑的用能情况</w:t>
            </w:r>
          </w:p>
        </w:tc>
        <w:tc>
          <w:tcPr>
            <w:tcW w:w="1245" w:type="dxa"/>
            <w:noWrap w:val="0"/>
            <w:vAlign w:val="center"/>
          </w:tcPr>
          <w:p w14:paraId="34B26338">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柱状图</w:t>
            </w:r>
          </w:p>
        </w:tc>
      </w:tr>
      <w:tr w14:paraId="6B4DE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5" w:type="dxa"/>
            <w:noWrap w:val="0"/>
            <w:vAlign w:val="center"/>
          </w:tcPr>
          <w:p w14:paraId="6BBA9889">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9</w:t>
            </w:r>
          </w:p>
        </w:tc>
        <w:tc>
          <w:tcPr>
            <w:tcW w:w="537" w:type="dxa"/>
            <w:vMerge w:val="continue"/>
            <w:noWrap w:val="0"/>
            <w:vAlign w:val="center"/>
          </w:tcPr>
          <w:p w14:paraId="2C154DBE">
            <w:pPr>
              <w:rPr>
                <w:rFonts w:hint="eastAsia" w:ascii="微软雅黑 Light" w:hAnsi="微软雅黑 Light" w:eastAsia="微软雅黑 Light" w:cs="微软雅黑 Light"/>
                <w:sz w:val="21"/>
                <w:szCs w:val="21"/>
              </w:rPr>
            </w:pPr>
          </w:p>
        </w:tc>
        <w:tc>
          <w:tcPr>
            <w:tcW w:w="1848" w:type="dxa"/>
            <w:noWrap w:val="0"/>
            <w:vAlign w:val="center"/>
          </w:tcPr>
          <w:p w14:paraId="69B3CC50">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2010年以后</w:t>
            </w:r>
          </w:p>
        </w:tc>
        <w:tc>
          <w:tcPr>
            <w:tcW w:w="4170" w:type="dxa"/>
            <w:noWrap w:val="0"/>
            <w:vAlign w:val="center"/>
          </w:tcPr>
          <w:p w14:paraId="5AD812E3">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归类监控2010年以后的建筑的用能情况</w:t>
            </w:r>
          </w:p>
        </w:tc>
        <w:tc>
          <w:tcPr>
            <w:tcW w:w="1245" w:type="dxa"/>
            <w:noWrap w:val="0"/>
            <w:vAlign w:val="center"/>
          </w:tcPr>
          <w:p w14:paraId="51A9F247">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柱状图</w:t>
            </w:r>
          </w:p>
        </w:tc>
      </w:tr>
      <w:tr w14:paraId="1C115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585" w:type="dxa"/>
            <w:noWrap w:val="0"/>
            <w:vAlign w:val="center"/>
          </w:tcPr>
          <w:p w14:paraId="271B252A">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10</w:t>
            </w:r>
          </w:p>
        </w:tc>
        <w:tc>
          <w:tcPr>
            <w:tcW w:w="2385" w:type="dxa"/>
            <w:gridSpan w:val="2"/>
            <w:noWrap w:val="0"/>
            <w:vAlign w:val="center"/>
          </w:tcPr>
          <w:p w14:paraId="0D340B64">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建筑用能单位</w:t>
            </w:r>
          </w:p>
          <w:p w14:paraId="55F11B9A">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详细用能监控</w:t>
            </w:r>
          </w:p>
        </w:tc>
        <w:tc>
          <w:tcPr>
            <w:tcW w:w="4170" w:type="dxa"/>
            <w:noWrap w:val="0"/>
            <w:vAlign w:val="center"/>
          </w:tcPr>
          <w:p w14:paraId="42D14F97">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按照照明、空调、动力、特殊用电的类型分项实时监控建筑单位用电；实时监控支路供水、供汽（气）</w:t>
            </w:r>
          </w:p>
        </w:tc>
        <w:tc>
          <w:tcPr>
            <w:tcW w:w="1245" w:type="dxa"/>
            <w:noWrap w:val="0"/>
            <w:vAlign w:val="center"/>
          </w:tcPr>
          <w:p w14:paraId="1B14E525">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饼图、仪表盘</w:t>
            </w:r>
          </w:p>
        </w:tc>
      </w:tr>
      <w:tr w14:paraId="7FFA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585" w:type="dxa"/>
            <w:noWrap w:val="0"/>
            <w:vAlign w:val="center"/>
          </w:tcPr>
          <w:p w14:paraId="521DE30D">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11</w:t>
            </w:r>
          </w:p>
        </w:tc>
        <w:tc>
          <w:tcPr>
            <w:tcW w:w="2385" w:type="dxa"/>
            <w:gridSpan w:val="2"/>
            <w:noWrap w:val="0"/>
            <w:vAlign w:val="center"/>
          </w:tcPr>
          <w:p w14:paraId="5715DA15">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能流图监控</w:t>
            </w:r>
          </w:p>
        </w:tc>
        <w:tc>
          <w:tcPr>
            <w:tcW w:w="4170" w:type="dxa"/>
            <w:noWrap w:val="0"/>
            <w:vAlign w:val="center"/>
          </w:tcPr>
          <w:p w14:paraId="0152EE94">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水、热管网能流图监控、用电能流图监控</w:t>
            </w:r>
          </w:p>
        </w:tc>
        <w:tc>
          <w:tcPr>
            <w:tcW w:w="1245" w:type="dxa"/>
            <w:noWrap w:val="0"/>
            <w:vAlign w:val="center"/>
          </w:tcPr>
          <w:p w14:paraId="7F807CF8">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流程图</w:t>
            </w:r>
          </w:p>
        </w:tc>
      </w:tr>
    </w:tbl>
    <w:p w14:paraId="794C633C">
      <w:pPr>
        <w:spacing w:before="120" w:beforeLines="50" w:after="120" w:afterLines="50"/>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表4-3图形用能监控</w:t>
      </w:r>
    </w:p>
    <w:p w14:paraId="047C7D81">
      <w:pPr>
        <w:pStyle w:val="4"/>
        <w:bidi w:val="0"/>
        <w:rPr>
          <w:rFonts w:hint="eastAsia"/>
        </w:rPr>
      </w:pPr>
      <w:bookmarkStart w:id="65" w:name="_Toc225615391"/>
      <w:bookmarkStart w:id="66" w:name="_Toc225674476"/>
      <w:bookmarkStart w:id="67" w:name="_Toc14900"/>
      <w:bookmarkStart w:id="68" w:name="_Toc23770"/>
      <w:r>
        <w:rPr>
          <w:rFonts w:hint="eastAsia"/>
        </w:rPr>
        <w:t>4.1.2建筑能耗查询</w:t>
      </w:r>
      <w:bookmarkEnd w:id="65"/>
      <w:bookmarkEnd w:id="66"/>
      <w:bookmarkEnd w:id="67"/>
      <w:bookmarkEnd w:id="68"/>
    </w:p>
    <w:p w14:paraId="5EBD8A77">
      <w:pPr>
        <w:adjustRightInd w:val="0"/>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建筑能耗查询包括能耗数据的属性查询、实时值查询、历史值查询。支持按照区域（建筑）、分项（照明、空调、动力、特殊）、分类（办公、生产、公共）、分户（不同耗能单位）来查询建筑单位的用能情况；支持自定义能耗查询分组，用户可以根据自己的需要，在权限范围内自由组合能耗查询项。</w:t>
      </w:r>
    </w:p>
    <w:p w14:paraId="06432AE6">
      <w:pPr>
        <w:adjustRightInd w:val="0"/>
        <w:spacing w:line="360" w:lineRule="auto"/>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drawing>
          <wp:inline distT="0" distB="0" distL="114300" distR="114300">
            <wp:extent cx="5657215" cy="3178810"/>
            <wp:effectExtent l="0" t="0" r="635" b="2540"/>
            <wp:docPr id="10" name="图片 10" descr="能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能耗"/>
                    <pic:cNvPicPr>
                      <a:picLocks noChangeAspect="1"/>
                    </pic:cNvPicPr>
                  </pic:nvPicPr>
                  <pic:blipFill>
                    <a:blip r:embed="rId23"/>
                    <a:stretch>
                      <a:fillRect/>
                    </a:stretch>
                  </pic:blipFill>
                  <pic:spPr>
                    <a:xfrm>
                      <a:off x="0" y="0"/>
                      <a:ext cx="5657215" cy="3178810"/>
                    </a:xfrm>
                    <a:prstGeom prst="rect">
                      <a:avLst/>
                    </a:prstGeom>
                    <a:noFill/>
                    <a:ln>
                      <a:noFill/>
                    </a:ln>
                  </pic:spPr>
                </pic:pic>
              </a:graphicData>
            </a:graphic>
          </wp:inline>
        </w:drawing>
      </w:r>
    </w:p>
    <w:p w14:paraId="77A99AD4">
      <w:pPr>
        <w:spacing w:before="120" w:beforeLines="50" w:after="120" w:afterLines="50"/>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图4-4能耗分类分项示意</w:t>
      </w:r>
    </w:p>
    <w:p w14:paraId="7CFD3EF2">
      <w:pPr>
        <w:adjustRightInd w:val="0"/>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建筑能耗查询的结果以表格的形式呈现，查询的结果可以导出为EXCEL、PDF等格式，方便数据的二次应用。</w:t>
      </w:r>
    </w:p>
    <w:p w14:paraId="0A3405B5">
      <w:pPr>
        <w:adjustRightInd w:val="0"/>
        <w:spacing w:line="360" w:lineRule="auto"/>
        <w:rPr>
          <w:rFonts w:hint="eastAsia" w:ascii="微软雅黑 Light" w:hAnsi="微软雅黑 Light" w:eastAsia="微软雅黑 Light" w:cs="微软雅黑 Light"/>
          <w:sz w:val="21"/>
          <w:szCs w:val="21"/>
          <w:lang w:eastAsia="zh-CN"/>
        </w:rPr>
      </w:pPr>
      <w:r>
        <w:rPr>
          <w:rFonts w:hint="eastAsia" w:ascii="微软雅黑 Light" w:hAnsi="微软雅黑 Light" w:eastAsia="微软雅黑 Light" w:cs="微软雅黑 Light"/>
          <w:sz w:val="21"/>
          <w:szCs w:val="21"/>
          <w:lang w:eastAsia="zh-CN"/>
        </w:rPr>
        <w:drawing>
          <wp:inline distT="0" distB="0" distL="114300" distR="114300">
            <wp:extent cx="5797550" cy="3260725"/>
            <wp:effectExtent l="0" t="0" r="12700" b="15875"/>
            <wp:docPr id="11" name="图片 58" descr="用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8" descr="用电"/>
                    <pic:cNvPicPr>
                      <a:picLocks noChangeAspect="1"/>
                    </pic:cNvPicPr>
                  </pic:nvPicPr>
                  <pic:blipFill>
                    <a:blip r:embed="rId24"/>
                    <a:stretch>
                      <a:fillRect/>
                    </a:stretch>
                  </pic:blipFill>
                  <pic:spPr>
                    <a:xfrm>
                      <a:off x="0" y="0"/>
                      <a:ext cx="5797550" cy="3260725"/>
                    </a:xfrm>
                    <a:prstGeom prst="rect">
                      <a:avLst/>
                    </a:prstGeom>
                    <a:noFill/>
                    <a:ln>
                      <a:noFill/>
                    </a:ln>
                  </pic:spPr>
                </pic:pic>
              </a:graphicData>
            </a:graphic>
          </wp:inline>
        </w:drawing>
      </w:r>
    </w:p>
    <w:p w14:paraId="0EE44744">
      <w:pPr>
        <w:spacing w:before="120" w:beforeLines="50" w:after="120" w:afterLines="50"/>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图4-5能耗查询界面示例</w:t>
      </w:r>
    </w:p>
    <w:p w14:paraId="54D34589">
      <w:pPr>
        <w:adjustRightInd w:val="0"/>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能耗查询内容如下：</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805"/>
        <w:gridCol w:w="4540"/>
        <w:gridCol w:w="1235"/>
      </w:tblGrid>
      <w:tr w14:paraId="6F70E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98" w:type="dxa"/>
            <w:shd w:val="clear" w:color="auto" w:fill="0000FF"/>
            <w:noWrap w:val="0"/>
            <w:vAlign w:val="center"/>
          </w:tcPr>
          <w:p w14:paraId="17B9F8D2">
            <w:pPr>
              <w:jc w:val="center"/>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序号</w:t>
            </w:r>
          </w:p>
        </w:tc>
        <w:tc>
          <w:tcPr>
            <w:tcW w:w="1805" w:type="dxa"/>
            <w:shd w:val="clear" w:color="auto" w:fill="0000FF"/>
            <w:noWrap w:val="0"/>
            <w:vAlign w:val="center"/>
          </w:tcPr>
          <w:p w14:paraId="69C18253">
            <w:pPr>
              <w:jc w:val="center"/>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能耗查询内容</w:t>
            </w:r>
          </w:p>
        </w:tc>
        <w:tc>
          <w:tcPr>
            <w:tcW w:w="4540" w:type="dxa"/>
            <w:shd w:val="clear" w:color="auto" w:fill="0000FF"/>
            <w:noWrap w:val="0"/>
            <w:vAlign w:val="center"/>
          </w:tcPr>
          <w:p w14:paraId="0530B3F7">
            <w:pPr>
              <w:jc w:val="center"/>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描述</w:t>
            </w:r>
          </w:p>
        </w:tc>
        <w:tc>
          <w:tcPr>
            <w:tcW w:w="1235" w:type="dxa"/>
            <w:shd w:val="clear" w:color="auto" w:fill="0000FF"/>
            <w:noWrap w:val="0"/>
            <w:vAlign w:val="center"/>
          </w:tcPr>
          <w:p w14:paraId="3F29D3B1">
            <w:pPr>
              <w:jc w:val="center"/>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类别</w:t>
            </w:r>
          </w:p>
        </w:tc>
      </w:tr>
      <w:tr w14:paraId="513AD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noWrap w:val="0"/>
            <w:vAlign w:val="center"/>
          </w:tcPr>
          <w:p w14:paraId="749ECBEA">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1</w:t>
            </w:r>
          </w:p>
        </w:tc>
        <w:tc>
          <w:tcPr>
            <w:tcW w:w="1805" w:type="dxa"/>
            <w:noWrap w:val="0"/>
            <w:vAlign w:val="center"/>
          </w:tcPr>
          <w:p w14:paraId="6D78F12B">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用能项属性查询</w:t>
            </w:r>
          </w:p>
        </w:tc>
        <w:tc>
          <w:tcPr>
            <w:tcW w:w="4540" w:type="dxa"/>
            <w:noWrap w:val="0"/>
            <w:vAlign w:val="center"/>
          </w:tcPr>
          <w:p w14:paraId="54DE3CB5">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根据点号名称，快速查询点号的物理属性，方便追踪点号在建筑单位中的位置。可以根据区域、分项、分类分户来筛选。</w:t>
            </w:r>
          </w:p>
        </w:tc>
        <w:tc>
          <w:tcPr>
            <w:tcW w:w="1235" w:type="dxa"/>
            <w:noWrap w:val="0"/>
            <w:vAlign w:val="center"/>
          </w:tcPr>
          <w:p w14:paraId="7CC40A6F">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属性查询</w:t>
            </w:r>
          </w:p>
        </w:tc>
      </w:tr>
      <w:tr w14:paraId="10026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dxa"/>
            <w:noWrap w:val="0"/>
            <w:vAlign w:val="center"/>
          </w:tcPr>
          <w:p w14:paraId="76520E41">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2</w:t>
            </w:r>
          </w:p>
        </w:tc>
        <w:tc>
          <w:tcPr>
            <w:tcW w:w="1805" w:type="dxa"/>
            <w:noWrap w:val="0"/>
            <w:vAlign w:val="center"/>
          </w:tcPr>
          <w:p w14:paraId="18EA4F96">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分组实时值查询</w:t>
            </w:r>
          </w:p>
        </w:tc>
        <w:tc>
          <w:tcPr>
            <w:tcW w:w="4540" w:type="dxa"/>
            <w:noWrap w:val="0"/>
            <w:vAlign w:val="center"/>
          </w:tcPr>
          <w:p w14:paraId="41E6D77E">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按照区域、项目、类别等为单位，分组批量查询用能实时值。</w:t>
            </w:r>
          </w:p>
        </w:tc>
        <w:tc>
          <w:tcPr>
            <w:tcW w:w="1235" w:type="dxa"/>
            <w:noWrap w:val="0"/>
            <w:vAlign w:val="center"/>
          </w:tcPr>
          <w:p w14:paraId="0DA6CF2F">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实时值查询</w:t>
            </w:r>
          </w:p>
        </w:tc>
      </w:tr>
      <w:tr w14:paraId="6BD12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jc w:val="center"/>
        </w:trPr>
        <w:tc>
          <w:tcPr>
            <w:tcW w:w="698" w:type="dxa"/>
            <w:noWrap w:val="0"/>
            <w:vAlign w:val="center"/>
          </w:tcPr>
          <w:p w14:paraId="1C192F9E">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3</w:t>
            </w:r>
          </w:p>
        </w:tc>
        <w:tc>
          <w:tcPr>
            <w:tcW w:w="1805" w:type="dxa"/>
            <w:noWrap w:val="0"/>
            <w:vAlign w:val="center"/>
          </w:tcPr>
          <w:p w14:paraId="592AC4BE">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分组历史查询</w:t>
            </w:r>
          </w:p>
        </w:tc>
        <w:tc>
          <w:tcPr>
            <w:tcW w:w="4540" w:type="dxa"/>
            <w:noWrap w:val="0"/>
            <w:vAlign w:val="center"/>
          </w:tcPr>
          <w:p w14:paraId="6A1C2AD9">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按照区域、项目、类别等为单位，逐时、逐日、逐月、逐年分组批量查询用能历史值。</w:t>
            </w:r>
          </w:p>
        </w:tc>
        <w:tc>
          <w:tcPr>
            <w:tcW w:w="1235" w:type="dxa"/>
            <w:noWrap w:val="0"/>
            <w:vAlign w:val="center"/>
          </w:tcPr>
          <w:p w14:paraId="72004ECE">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历史值查询</w:t>
            </w:r>
          </w:p>
        </w:tc>
      </w:tr>
      <w:tr w14:paraId="5288A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98" w:type="dxa"/>
            <w:noWrap w:val="0"/>
            <w:vAlign w:val="center"/>
          </w:tcPr>
          <w:p w14:paraId="30AC9123">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4</w:t>
            </w:r>
          </w:p>
        </w:tc>
        <w:tc>
          <w:tcPr>
            <w:tcW w:w="1805" w:type="dxa"/>
            <w:noWrap w:val="0"/>
            <w:vAlign w:val="center"/>
          </w:tcPr>
          <w:p w14:paraId="6C3183C8">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同类建筑单位面积分项用能查询</w:t>
            </w:r>
          </w:p>
        </w:tc>
        <w:tc>
          <w:tcPr>
            <w:tcW w:w="4540" w:type="dxa"/>
            <w:noWrap w:val="0"/>
            <w:vAlign w:val="center"/>
          </w:tcPr>
          <w:p w14:paraId="36F5CA73">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查询同类建筑单位面积照明、空调、动力特殊用电逐时、逐日、逐月、逐年耗能数据。</w:t>
            </w:r>
          </w:p>
        </w:tc>
        <w:tc>
          <w:tcPr>
            <w:tcW w:w="1235" w:type="dxa"/>
            <w:noWrap w:val="0"/>
            <w:vAlign w:val="center"/>
          </w:tcPr>
          <w:p w14:paraId="741DBA8C">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历史值查询</w:t>
            </w:r>
          </w:p>
        </w:tc>
      </w:tr>
      <w:tr w14:paraId="48A1B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698" w:type="dxa"/>
            <w:noWrap w:val="0"/>
            <w:vAlign w:val="center"/>
          </w:tcPr>
          <w:p w14:paraId="1E3B0E34">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5</w:t>
            </w:r>
          </w:p>
        </w:tc>
        <w:tc>
          <w:tcPr>
            <w:tcW w:w="1805" w:type="dxa"/>
            <w:noWrap w:val="0"/>
            <w:vAlign w:val="center"/>
          </w:tcPr>
          <w:p w14:paraId="700598FE">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同类建筑人均分项用能查询</w:t>
            </w:r>
          </w:p>
        </w:tc>
        <w:tc>
          <w:tcPr>
            <w:tcW w:w="4540" w:type="dxa"/>
            <w:noWrap w:val="0"/>
            <w:vAlign w:val="center"/>
          </w:tcPr>
          <w:p w14:paraId="67B2E0D6">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查询同类建筑人均照明、空调、动力特殊用电逐时、逐日、逐月、逐年耗能数据。</w:t>
            </w:r>
          </w:p>
        </w:tc>
        <w:tc>
          <w:tcPr>
            <w:tcW w:w="1235" w:type="dxa"/>
            <w:noWrap w:val="0"/>
            <w:vAlign w:val="center"/>
          </w:tcPr>
          <w:p w14:paraId="3BD7DE8A">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历史值查询</w:t>
            </w:r>
          </w:p>
        </w:tc>
      </w:tr>
    </w:tbl>
    <w:p w14:paraId="17F47DEC">
      <w:pPr>
        <w:spacing w:before="120" w:beforeLines="50" w:after="120" w:afterLines="50"/>
        <w:jc w:val="center"/>
        <w:rPr>
          <w:rFonts w:hint="eastAsia" w:ascii="微软雅黑 Light" w:hAnsi="微软雅黑 Light" w:eastAsia="微软雅黑 Light" w:cs="微软雅黑 Light"/>
          <w:sz w:val="21"/>
          <w:szCs w:val="21"/>
        </w:rPr>
      </w:pPr>
      <w:bookmarkStart w:id="69" w:name="_Toc272676784"/>
      <w:bookmarkStart w:id="70" w:name="_Toc6097"/>
      <w:bookmarkStart w:id="71" w:name="_Toc225674479"/>
      <w:bookmarkStart w:id="72" w:name="_Toc272317674"/>
      <w:bookmarkStart w:id="73" w:name="_Toc225615394"/>
      <w:bookmarkStart w:id="74" w:name="_Toc296285018"/>
      <w:r>
        <w:rPr>
          <w:rFonts w:hint="eastAsia" w:ascii="微软雅黑 Light" w:hAnsi="微软雅黑 Light" w:eastAsia="微软雅黑 Light" w:cs="微软雅黑 Light"/>
          <w:sz w:val="21"/>
          <w:szCs w:val="21"/>
        </w:rPr>
        <w:t>表4-6能耗查询内容</w:t>
      </w:r>
    </w:p>
    <w:p w14:paraId="36C1CF8D">
      <w:pPr>
        <w:pStyle w:val="4"/>
        <w:bidi w:val="0"/>
        <w:rPr>
          <w:rFonts w:hint="eastAsia" w:ascii="Arial" w:hAnsi="Arial" w:cs="Times New Roman"/>
        </w:rPr>
      </w:pPr>
      <w:bookmarkStart w:id="75" w:name="_Toc2772"/>
      <w:bookmarkStart w:id="76" w:name="_Toc312692229"/>
      <w:bookmarkStart w:id="77" w:name="_Toc25629"/>
      <w:r>
        <w:rPr>
          <w:rFonts w:hint="eastAsia" w:ascii="Arial" w:hAnsi="Arial" w:cs="Times New Roman"/>
          <w:lang w:val="en-US" w:eastAsia="zh-CN"/>
        </w:rPr>
        <w:t>4.2</w:t>
      </w:r>
      <w:r>
        <w:rPr>
          <w:rFonts w:hint="eastAsia" w:ascii="Arial" w:hAnsi="Arial" w:cs="Times New Roman"/>
        </w:rPr>
        <w:t>建筑环境监测</w:t>
      </w:r>
      <w:bookmarkEnd w:id="75"/>
      <w:bookmarkEnd w:id="76"/>
      <w:bookmarkEnd w:id="77"/>
    </w:p>
    <w:p w14:paraId="0C8B9C79">
      <w:pPr>
        <w:spacing w:line="360" w:lineRule="auto"/>
        <w:ind w:firstLine="420" w:firstLineChars="200"/>
        <w:rPr>
          <w:rFonts w:hint="eastAsia" w:ascii="微软雅黑 Light" w:hAnsi="微软雅黑 Light" w:eastAsia="微软雅黑 Light" w:cs="微软雅黑 Light"/>
          <w:kern w:val="0"/>
          <w:sz w:val="21"/>
          <w:szCs w:val="21"/>
        </w:rPr>
      </w:pPr>
      <w:r>
        <w:rPr>
          <w:rFonts w:hint="eastAsia" w:ascii="微软雅黑 Light" w:hAnsi="微软雅黑 Light" w:eastAsia="微软雅黑 Light" w:cs="微软雅黑 Light"/>
          <w:kern w:val="0"/>
          <w:sz w:val="21"/>
          <w:szCs w:val="21"/>
        </w:rPr>
        <w:t>通过数据采集终端，实时采集建筑内的温度、湿度、风速等环境传感器，汇总至</w:t>
      </w:r>
      <w:r>
        <w:rPr>
          <w:rFonts w:hint="eastAsia" w:ascii="微软雅黑 Light" w:hAnsi="微软雅黑 Light" w:cs="微软雅黑 Light"/>
          <w:kern w:val="0"/>
          <w:sz w:val="21"/>
          <w:szCs w:val="21"/>
          <w:lang w:eastAsia="zh-CN"/>
        </w:rPr>
        <w:t>建筑能耗管理</w:t>
      </w:r>
      <w:r>
        <w:rPr>
          <w:rFonts w:hint="eastAsia" w:ascii="微软雅黑 Light" w:hAnsi="微软雅黑 Light" w:eastAsia="微软雅黑 Light" w:cs="微软雅黑 Light"/>
          <w:kern w:val="0"/>
          <w:sz w:val="21"/>
          <w:szCs w:val="21"/>
        </w:rPr>
        <w:t>系统内，基于实时环境数据，分析建筑内环境舒适度，以及建筑内环境和用能之间的关系，辅助管理部门更好地了解建筑内部环境情况和用能管理，如图：</w:t>
      </w:r>
    </w:p>
    <w:p w14:paraId="6DEC533C">
      <w:pPr>
        <w:spacing w:line="360" w:lineRule="auto"/>
        <w:jc w:val="center"/>
        <w:rPr>
          <w:rFonts w:hint="eastAsia" w:ascii="微软雅黑 Light" w:hAnsi="微软雅黑 Light" w:eastAsia="微软雅黑 Light" w:cs="微软雅黑 Light"/>
          <w:kern w:val="0"/>
          <w:sz w:val="21"/>
          <w:szCs w:val="21"/>
        </w:rPr>
      </w:pPr>
      <w:r>
        <w:rPr>
          <w:rFonts w:hint="eastAsia" w:ascii="微软雅黑 Light" w:hAnsi="微软雅黑 Light" w:eastAsia="微软雅黑 Light" w:cs="微软雅黑 Light"/>
          <w:kern w:val="0"/>
          <w:sz w:val="21"/>
          <w:szCs w:val="21"/>
        </w:rPr>
        <w:drawing>
          <wp:inline distT="0" distB="0" distL="114300" distR="114300">
            <wp:extent cx="5226050" cy="2634615"/>
            <wp:effectExtent l="0" t="0" r="12700" b="13335"/>
            <wp:docPr id="12" name="图片 12" descr="图片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片8"/>
                    <pic:cNvPicPr>
                      <a:picLocks noChangeAspect="1"/>
                    </pic:cNvPicPr>
                  </pic:nvPicPr>
                  <pic:blipFill>
                    <a:blip r:embed="rId25"/>
                    <a:stretch>
                      <a:fillRect/>
                    </a:stretch>
                  </pic:blipFill>
                  <pic:spPr>
                    <a:xfrm>
                      <a:off x="0" y="0"/>
                      <a:ext cx="5226050" cy="2634615"/>
                    </a:xfrm>
                    <a:prstGeom prst="rect">
                      <a:avLst/>
                    </a:prstGeom>
                    <a:noFill/>
                    <a:ln>
                      <a:noFill/>
                    </a:ln>
                  </pic:spPr>
                </pic:pic>
              </a:graphicData>
            </a:graphic>
          </wp:inline>
        </w:drawing>
      </w:r>
    </w:p>
    <w:p w14:paraId="25561CA3">
      <w:pPr>
        <w:jc w:val="center"/>
        <w:rPr>
          <w:rFonts w:hint="eastAsia" w:ascii="微软雅黑 Light" w:hAnsi="微软雅黑 Light" w:eastAsia="微软雅黑 Light" w:cs="微软雅黑 Light"/>
          <w:kern w:val="0"/>
          <w:sz w:val="21"/>
          <w:szCs w:val="21"/>
        </w:rPr>
      </w:pPr>
      <w:r>
        <w:rPr>
          <w:rFonts w:hint="eastAsia" w:ascii="微软雅黑 Light" w:hAnsi="微软雅黑 Light" w:eastAsia="微软雅黑 Light" w:cs="微软雅黑 Light"/>
          <w:sz w:val="21"/>
          <w:szCs w:val="21"/>
        </w:rPr>
        <w:t>图4-7环境监测界面示例</w:t>
      </w:r>
    </w:p>
    <w:p w14:paraId="1017FA19">
      <w:pPr>
        <w:pStyle w:val="4"/>
        <w:bidi w:val="0"/>
        <w:rPr>
          <w:rFonts w:hint="eastAsia" w:ascii="Arial" w:hAnsi="Arial" w:cs="Times New Roman"/>
          <w:lang w:val="en-US" w:eastAsia="zh-CN"/>
        </w:rPr>
      </w:pPr>
      <w:bookmarkStart w:id="78" w:name="_Toc30075"/>
      <w:bookmarkStart w:id="79" w:name="_Toc312692230"/>
      <w:bookmarkStart w:id="80" w:name="_Toc541"/>
      <w:r>
        <w:rPr>
          <w:rFonts w:hint="eastAsia" w:ascii="Arial" w:hAnsi="Arial" w:cs="Times New Roman"/>
          <w:lang w:val="en-US" w:eastAsia="zh-CN"/>
        </w:rPr>
        <w:t>4.3能耗公示、评价系统</w:t>
      </w:r>
      <w:bookmarkEnd w:id="69"/>
      <w:bookmarkEnd w:id="70"/>
      <w:bookmarkEnd w:id="71"/>
      <w:bookmarkEnd w:id="72"/>
      <w:bookmarkEnd w:id="73"/>
      <w:bookmarkEnd w:id="74"/>
      <w:bookmarkEnd w:id="78"/>
      <w:bookmarkEnd w:id="79"/>
      <w:bookmarkEnd w:id="80"/>
    </w:p>
    <w:p w14:paraId="2FE5A51D">
      <w:pPr>
        <w:spacing w:line="360" w:lineRule="auto"/>
        <w:ind w:firstLine="420" w:firstLineChars="200"/>
        <w:rPr>
          <w:rFonts w:hint="eastAsia" w:ascii="微软雅黑 Light" w:hAnsi="微软雅黑 Light" w:eastAsia="微软雅黑 Light" w:cs="微软雅黑 Light"/>
          <w:kern w:val="0"/>
          <w:sz w:val="21"/>
          <w:szCs w:val="21"/>
        </w:rPr>
      </w:pPr>
      <w:r>
        <w:rPr>
          <w:rFonts w:hint="eastAsia" w:ascii="微软雅黑 Light" w:hAnsi="微软雅黑 Light" w:eastAsia="微软雅黑 Light" w:cs="微软雅黑 Light"/>
          <w:kern w:val="0"/>
          <w:sz w:val="21"/>
          <w:szCs w:val="21"/>
        </w:rPr>
        <w:t>系统可以通过Web方式向公众公示各类建筑的能耗情况，能效等级，用能结构等，并提供同类建筑的各项能效排名公示。公示方式采用列表、趋势图、饼图、柱状图等，界面直观，支持用户按需配置，系统管理方可根据公示内容比如人均用能、根据建筑属性和耗能单位属性进行分类公示，数据周期可以根据需要配置。</w:t>
      </w:r>
    </w:p>
    <w:p w14:paraId="1EFED3E6">
      <w:pPr>
        <w:pStyle w:val="4"/>
        <w:spacing w:after="120" w:afterLines="50" w:line="360" w:lineRule="auto"/>
        <w:rPr>
          <w:rFonts w:hint="eastAsia" w:ascii="微软雅黑 Light" w:hAnsi="微软雅黑 Light" w:eastAsia="微软雅黑 Light" w:cs="微软雅黑 Light"/>
          <w:b/>
          <w:sz w:val="21"/>
          <w:szCs w:val="21"/>
        </w:rPr>
      </w:pPr>
      <w:bookmarkStart w:id="81" w:name="_Toc21773"/>
      <w:bookmarkStart w:id="82" w:name="_Toc225674477"/>
      <w:bookmarkStart w:id="83" w:name="_Toc225615392"/>
      <w:bookmarkStart w:id="84" w:name="_Toc2929"/>
      <w:r>
        <w:rPr>
          <w:rFonts w:hint="eastAsia" w:ascii="微软雅黑 Light" w:hAnsi="微软雅黑 Light" w:eastAsia="微软雅黑 Light" w:cs="微软雅黑 Light"/>
          <w:b/>
          <w:sz w:val="21"/>
          <w:szCs w:val="21"/>
        </w:rPr>
        <w:t>4.3.1能效公示</w:t>
      </w:r>
      <w:bookmarkEnd w:id="81"/>
      <w:bookmarkEnd w:id="82"/>
      <w:bookmarkEnd w:id="83"/>
      <w:bookmarkEnd w:id="84"/>
    </w:p>
    <w:p w14:paraId="6234C67E">
      <w:pPr>
        <w:adjustRightInd w:val="0"/>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能耗公示是系统的门户系统，公众用户主要通过能耗公示访问系统并与系统提供的应用交互。</w:t>
      </w:r>
    </w:p>
    <w:p w14:paraId="65CBFF85">
      <w:pPr>
        <w:adjustRightInd w:val="0"/>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能耗公示部分典型有两类用户：</w:t>
      </w:r>
    </w:p>
    <w:p w14:paraId="7C1F5472">
      <w:pPr>
        <w:numPr>
          <w:ilvl w:val="0"/>
          <w:numId w:val="21"/>
        </w:numPr>
        <w:adjustRightInd w:val="0"/>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访问用户：访问用户并不是系统的固定用户，对于访问用户，系统主要为其提供了解能耗和节能，以及了解各种用能公开信息的平台；</w:t>
      </w:r>
    </w:p>
    <w:p w14:paraId="614F1C80">
      <w:pPr>
        <w:numPr>
          <w:ilvl w:val="0"/>
          <w:numId w:val="21"/>
        </w:numPr>
        <w:adjustRightInd w:val="0"/>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业主用户：业主用户是系统的监控对象用户，这些用户除了希望了解目前整体用能形势和普遍节能状况外，重点关心本组织的能耗监控和用能情况；</w:t>
      </w:r>
    </w:p>
    <w:p w14:paraId="62E44616">
      <w:pPr>
        <w:spacing w:line="360" w:lineRule="auto"/>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drawing>
          <wp:inline distT="0" distB="0" distL="114300" distR="114300">
            <wp:extent cx="4400550" cy="3189605"/>
            <wp:effectExtent l="0" t="0" r="0" b="10795"/>
            <wp:docPr id="13" name="图片 13" descr="能耗公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能耗公示"/>
                    <pic:cNvPicPr>
                      <a:picLocks noChangeAspect="1"/>
                    </pic:cNvPicPr>
                  </pic:nvPicPr>
                  <pic:blipFill>
                    <a:blip r:embed="rId26"/>
                    <a:stretch>
                      <a:fillRect/>
                    </a:stretch>
                  </pic:blipFill>
                  <pic:spPr>
                    <a:xfrm>
                      <a:off x="0" y="0"/>
                      <a:ext cx="4400550" cy="3189605"/>
                    </a:xfrm>
                    <a:prstGeom prst="rect">
                      <a:avLst/>
                    </a:prstGeom>
                    <a:noFill/>
                    <a:ln>
                      <a:noFill/>
                    </a:ln>
                  </pic:spPr>
                </pic:pic>
              </a:graphicData>
            </a:graphic>
          </wp:inline>
        </w:drawing>
      </w:r>
    </w:p>
    <w:p w14:paraId="232EC38E">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图4-8能耗公示</w:t>
      </w:r>
    </w:p>
    <w:p w14:paraId="23E1481C">
      <w:pPr>
        <w:jc w:val="center"/>
        <w:rPr>
          <w:rFonts w:hint="eastAsia" w:ascii="微软雅黑 Light" w:hAnsi="微软雅黑 Light" w:eastAsia="微软雅黑 Light" w:cs="微软雅黑 Light"/>
          <w:sz w:val="21"/>
          <w:szCs w:val="21"/>
        </w:rPr>
      </w:pPr>
    </w:p>
    <w:p w14:paraId="3C8E9BA2">
      <w:pPr>
        <w:jc w:val="center"/>
        <w:rPr>
          <w:rFonts w:hint="eastAsia" w:ascii="微软雅黑 Light" w:hAnsi="微软雅黑 Light" w:eastAsia="微软雅黑 Light" w:cs="微软雅黑 Light"/>
          <w:sz w:val="21"/>
          <w:szCs w:val="21"/>
        </w:rPr>
      </w:pPr>
    </w:p>
    <w:p w14:paraId="4CFE3B6E">
      <w:pPr>
        <w:spacing w:line="360" w:lineRule="auto"/>
        <w:rPr>
          <w:rFonts w:hint="eastAsia" w:ascii="微软雅黑 Light" w:hAnsi="微软雅黑 Light" w:eastAsia="微软雅黑 Light" w:cs="微软雅黑 Light"/>
          <w:b/>
          <w:sz w:val="21"/>
          <w:szCs w:val="21"/>
        </w:rPr>
      </w:pPr>
      <w:bookmarkStart w:id="85" w:name="_Toc296285020"/>
      <w:r>
        <w:rPr>
          <w:rFonts w:hint="eastAsia" w:ascii="微软雅黑 Light" w:hAnsi="微软雅黑 Light" w:eastAsia="微软雅黑 Light" w:cs="微软雅黑 Light"/>
          <w:b/>
          <w:sz w:val="21"/>
          <w:szCs w:val="21"/>
        </w:rPr>
        <w:t>2）用能统计结果</w:t>
      </w:r>
      <w:bookmarkEnd w:id="85"/>
    </w:p>
    <w:p w14:paraId="274140AC">
      <w:pPr>
        <w:adjustRightInd w:val="0"/>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建筑用能统计信息公示主要包括：</w:t>
      </w:r>
    </w:p>
    <w:p w14:paraId="68EA7B47">
      <w:pPr>
        <w:numPr>
          <w:ilvl w:val="0"/>
          <w:numId w:val="22"/>
        </w:numPr>
        <w:adjustRightInd w:val="0"/>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建筑人均用能排名公示；</w:t>
      </w:r>
    </w:p>
    <w:p w14:paraId="3F73489F">
      <w:pPr>
        <w:numPr>
          <w:ilvl w:val="0"/>
          <w:numId w:val="22"/>
        </w:numPr>
        <w:adjustRightInd w:val="0"/>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分户（用能结算单位）人均单位面积用能公示；</w:t>
      </w:r>
    </w:p>
    <w:p w14:paraId="42872D20">
      <w:pPr>
        <w:numPr>
          <w:ilvl w:val="0"/>
          <w:numId w:val="22"/>
        </w:numPr>
        <w:adjustRightInd w:val="0"/>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分户（用能结算单位）人均年度用能公示；</w:t>
      </w:r>
    </w:p>
    <w:p w14:paraId="5924F24D">
      <w:pPr>
        <w:numPr>
          <w:ilvl w:val="0"/>
          <w:numId w:val="22"/>
        </w:numPr>
        <w:adjustRightInd w:val="0"/>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用能监察超标单位公示；</w:t>
      </w:r>
    </w:p>
    <w:p w14:paraId="2F9F9C26">
      <w:pPr>
        <w:adjustRightInd w:val="0"/>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以上同类建筑指按照建筑类型（办公楼、厂房、公共建筑楼等）、建筑年代（80年代、90年代、2000年以后、2010年以后）等分类；分项包括（建筑内照明、办公、公共能耗、动力设备、空调、特殊用能、建筑总用水、空调能耗总量等）。</w:t>
      </w:r>
    </w:p>
    <w:p w14:paraId="3F1D9EDE">
      <w:pPr>
        <w:adjustRightInd w:val="0"/>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公示方式采用列表、趋势图、饼图、柱状图等，界面直观，公示数据周期可以根据需要配置。</w:t>
      </w:r>
    </w:p>
    <w:p w14:paraId="6EA0CFFD">
      <w:pPr>
        <w:pStyle w:val="4"/>
        <w:spacing w:after="120" w:afterLines="50" w:line="360" w:lineRule="auto"/>
        <w:rPr>
          <w:rFonts w:hint="eastAsia" w:ascii="微软雅黑 Light" w:hAnsi="微软雅黑 Light" w:eastAsia="微软雅黑 Light" w:cs="微软雅黑 Light"/>
          <w:b/>
          <w:sz w:val="21"/>
          <w:szCs w:val="21"/>
        </w:rPr>
      </w:pPr>
      <w:bookmarkStart w:id="86" w:name="_Toc25048"/>
      <w:bookmarkStart w:id="87" w:name="_Toc13763"/>
      <w:r>
        <w:rPr>
          <w:rFonts w:hint="eastAsia" w:ascii="微软雅黑 Light" w:hAnsi="微软雅黑 Light" w:eastAsia="微软雅黑 Light" w:cs="微软雅黑 Light"/>
          <w:b/>
          <w:sz w:val="21"/>
          <w:szCs w:val="21"/>
        </w:rPr>
        <w:t>4.3.2用能评价标准提炼</w:t>
      </w:r>
      <w:bookmarkEnd w:id="86"/>
      <w:bookmarkEnd w:id="87"/>
      <w:r>
        <w:rPr>
          <w:rFonts w:hint="eastAsia" w:ascii="微软雅黑 Light" w:hAnsi="微软雅黑 Light" w:eastAsia="微软雅黑 Light" w:cs="微软雅黑 Light"/>
          <w:b/>
          <w:sz w:val="21"/>
          <w:szCs w:val="21"/>
        </w:rPr>
        <w:t xml:space="preserve"> </w:t>
      </w:r>
    </w:p>
    <w:p w14:paraId="66A50FEC">
      <w:pPr>
        <w:adjustRightInd w:val="0"/>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能耗在线监控系统的运行将不断收集数量越来越多、时间越来越长的能耗测量数据，针对能耗测量数据，对能耗监控系统所对应的各业务对象的原用能标准可以得到完善和修订，对于未指定用能标准的业务对象，则可以逐步形成合理的用能标准。</w:t>
      </w:r>
    </w:p>
    <w:p w14:paraId="2DB30A73">
      <w:pPr>
        <w:adjustRightInd w:val="0"/>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对于系统用户，可在系统使用过程中，逐渐形成用能标准。用能标准可按国家现行标准制定，也可以从长期积累的用能数据中提炼得来。系统提供按用户给定的挖掘条件对历史数据进行分析，提出制定标准的建议，用户可以修改系统分析的用能标准建议。</w:t>
      </w:r>
    </w:p>
    <w:p w14:paraId="54C804D4">
      <w:pPr>
        <w:spacing w:line="360" w:lineRule="auto"/>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drawing>
          <wp:inline distT="0" distB="0" distL="114300" distR="114300">
            <wp:extent cx="5439410" cy="1936750"/>
            <wp:effectExtent l="0" t="0" r="8890" b="6350"/>
            <wp:docPr id="14" name="图片 15" descr="循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5" descr="循环"/>
                    <pic:cNvPicPr>
                      <a:picLocks noChangeAspect="1"/>
                    </pic:cNvPicPr>
                  </pic:nvPicPr>
                  <pic:blipFill>
                    <a:blip r:embed="rId27"/>
                    <a:stretch>
                      <a:fillRect/>
                    </a:stretch>
                  </pic:blipFill>
                  <pic:spPr>
                    <a:xfrm>
                      <a:off x="0" y="0"/>
                      <a:ext cx="5439410" cy="1936750"/>
                    </a:xfrm>
                    <a:prstGeom prst="rect">
                      <a:avLst/>
                    </a:prstGeom>
                    <a:noFill/>
                    <a:ln>
                      <a:noFill/>
                    </a:ln>
                  </pic:spPr>
                </pic:pic>
              </a:graphicData>
            </a:graphic>
          </wp:inline>
        </w:drawing>
      </w:r>
    </w:p>
    <w:p w14:paraId="70CDE172">
      <w:pPr>
        <w:spacing w:before="120" w:beforeLines="50" w:after="120" w:afterLines="50"/>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图4-</w:t>
      </w:r>
      <w:r>
        <w:rPr>
          <w:rFonts w:hint="eastAsia" w:ascii="微软雅黑 Light" w:hAnsi="微软雅黑 Light" w:cs="微软雅黑 Light"/>
          <w:sz w:val="21"/>
          <w:szCs w:val="21"/>
          <w:lang w:val="en-US" w:eastAsia="zh-CN"/>
        </w:rPr>
        <w:t>9</w:t>
      </w:r>
      <w:r>
        <w:rPr>
          <w:rFonts w:hint="eastAsia" w:ascii="微软雅黑 Light" w:hAnsi="微软雅黑 Light" w:eastAsia="微软雅黑 Light" w:cs="微软雅黑 Light"/>
          <w:sz w:val="21"/>
          <w:szCs w:val="21"/>
        </w:rPr>
        <w:t>不断循环提升用能标准</w:t>
      </w:r>
    </w:p>
    <w:p w14:paraId="48893945">
      <w:pPr>
        <w:adjustRightInd w:val="0"/>
        <w:spacing w:line="360" w:lineRule="auto"/>
        <w:ind w:firstLine="42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通过系统的分析，也可以检验国家标准对本系统或本组织机构的适用性。用能标准提炼具体步骤如下：</w:t>
      </w:r>
    </w:p>
    <w:p w14:paraId="53AD9449">
      <w:pPr>
        <w:spacing w:line="360" w:lineRule="auto"/>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drawing>
          <wp:inline distT="0" distB="0" distL="114300" distR="114300">
            <wp:extent cx="5445760" cy="2124710"/>
            <wp:effectExtent l="0" t="0" r="2540" b="8890"/>
            <wp:docPr id="15" name="图片 16" descr="用能评价标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6" descr="用能评价标准"/>
                    <pic:cNvPicPr>
                      <a:picLocks noChangeAspect="1"/>
                    </pic:cNvPicPr>
                  </pic:nvPicPr>
                  <pic:blipFill>
                    <a:blip r:embed="rId28"/>
                    <a:stretch>
                      <a:fillRect/>
                    </a:stretch>
                  </pic:blipFill>
                  <pic:spPr>
                    <a:xfrm>
                      <a:off x="0" y="0"/>
                      <a:ext cx="5445760" cy="2124710"/>
                    </a:xfrm>
                    <a:prstGeom prst="rect">
                      <a:avLst/>
                    </a:prstGeom>
                    <a:noFill/>
                    <a:ln>
                      <a:noFill/>
                    </a:ln>
                  </pic:spPr>
                </pic:pic>
              </a:graphicData>
            </a:graphic>
          </wp:inline>
        </w:drawing>
      </w:r>
    </w:p>
    <w:p w14:paraId="70674AF4">
      <w:pPr>
        <w:spacing w:before="120" w:beforeLines="50" w:after="120" w:afterLines="50"/>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图4-1</w:t>
      </w:r>
      <w:r>
        <w:rPr>
          <w:rFonts w:hint="eastAsia" w:ascii="微软雅黑 Light" w:hAnsi="微软雅黑 Light" w:cs="微软雅黑 Light"/>
          <w:sz w:val="21"/>
          <w:szCs w:val="21"/>
          <w:lang w:val="en-US" w:eastAsia="zh-CN"/>
        </w:rPr>
        <w:t>0</w:t>
      </w:r>
      <w:r>
        <w:rPr>
          <w:rFonts w:hint="eastAsia" w:ascii="微软雅黑 Light" w:hAnsi="微软雅黑 Light" w:eastAsia="微软雅黑 Light" w:cs="微软雅黑 Light"/>
          <w:sz w:val="21"/>
          <w:szCs w:val="21"/>
        </w:rPr>
        <w:t>用能评价标准提炼</w:t>
      </w:r>
    </w:p>
    <w:p w14:paraId="18F828AA">
      <w:pPr>
        <w:pStyle w:val="3"/>
        <w:numPr>
          <w:ilvl w:val="0"/>
          <w:numId w:val="0"/>
        </w:numPr>
        <w:bidi w:val="0"/>
        <w:ind w:leftChars="0"/>
        <w:rPr>
          <w:rFonts w:hint="eastAsia"/>
          <w:lang w:val="en-US" w:eastAsia="zh-CN"/>
        </w:rPr>
      </w:pPr>
      <w:bookmarkStart w:id="88" w:name="_Toc225615395"/>
      <w:bookmarkStart w:id="89" w:name="_Toc225674480"/>
      <w:bookmarkStart w:id="90" w:name="_Toc11003"/>
      <w:bookmarkStart w:id="91" w:name="_Toc9741"/>
      <w:bookmarkStart w:id="92" w:name="_Toc1964"/>
      <w:bookmarkStart w:id="93" w:name="_Toc296285021"/>
      <w:bookmarkStart w:id="94" w:name="_Toc312692231"/>
      <w:r>
        <w:rPr>
          <w:rFonts w:hint="eastAsia"/>
          <w:lang w:val="en-US" w:eastAsia="zh-CN"/>
        </w:rPr>
        <w:t>4.4建筑能耗专题分析</w:t>
      </w:r>
      <w:bookmarkEnd w:id="88"/>
      <w:bookmarkEnd w:id="89"/>
      <w:r>
        <w:rPr>
          <w:rFonts w:hint="eastAsia"/>
          <w:lang w:val="en-US" w:eastAsia="zh-CN"/>
        </w:rPr>
        <w:t>子系统</w:t>
      </w:r>
      <w:bookmarkEnd w:id="90"/>
      <w:bookmarkEnd w:id="91"/>
      <w:bookmarkEnd w:id="92"/>
      <w:bookmarkEnd w:id="93"/>
      <w:bookmarkEnd w:id="94"/>
    </w:p>
    <w:p w14:paraId="7C784031">
      <w:pPr>
        <w:spacing w:line="360" w:lineRule="auto"/>
        <w:ind w:firstLine="420" w:firstLineChars="200"/>
        <w:rPr>
          <w:rFonts w:hint="eastAsia" w:ascii="微软雅黑 Light" w:hAnsi="微软雅黑 Light" w:eastAsia="微软雅黑 Light" w:cs="微软雅黑 Light"/>
          <w:kern w:val="0"/>
          <w:sz w:val="21"/>
          <w:szCs w:val="21"/>
        </w:rPr>
      </w:pPr>
      <w:r>
        <w:rPr>
          <w:rFonts w:hint="eastAsia" w:ascii="微软雅黑 Light" w:hAnsi="微软雅黑 Light" w:eastAsia="微软雅黑 Light" w:cs="微软雅黑 Light"/>
          <w:kern w:val="0"/>
          <w:sz w:val="21"/>
          <w:szCs w:val="21"/>
        </w:rPr>
        <w:t>能耗专题分析子系统提供专题的能耗分析，为节能研究人员进行基于特点的专项用能提供相关科研辅助。主要的专题分析，包括各类建筑能效分析、工作时间与非工作时间典型建筑能效分析、中央空调等能效专项分析等。</w:t>
      </w:r>
    </w:p>
    <w:p w14:paraId="5CC1188F">
      <w:pPr>
        <w:pStyle w:val="4"/>
        <w:bidi w:val="0"/>
        <w:rPr>
          <w:rFonts w:hint="eastAsia"/>
        </w:rPr>
      </w:pPr>
      <w:bookmarkStart w:id="95" w:name="_Toc11398"/>
      <w:bookmarkStart w:id="96" w:name="_Toc23173"/>
      <w:r>
        <w:rPr>
          <w:rFonts w:hint="eastAsia"/>
        </w:rPr>
        <w:t>4.4.1能耗分析报告</w:t>
      </w:r>
      <w:bookmarkEnd w:id="95"/>
      <w:bookmarkEnd w:id="96"/>
    </w:p>
    <w:p w14:paraId="26F9AB35">
      <w:pPr>
        <w:adjustRightInd w:val="0"/>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系统用户和业主用户可以依权限获取能耗分析报告，该功能支持用户通过选择分析项目来定制分析报告的内容。能耗分析报告的主要功能包括：</w:t>
      </w:r>
    </w:p>
    <w:p w14:paraId="00C47738">
      <w:pPr>
        <w:adjustRightInd w:val="0"/>
        <w:spacing w:line="360" w:lineRule="auto"/>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drawing>
          <wp:inline distT="0" distB="0" distL="114300" distR="114300">
            <wp:extent cx="5439410" cy="2440305"/>
            <wp:effectExtent l="0" t="0" r="8890" b="17145"/>
            <wp:docPr id="16" name="图片 17" descr="未命名-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7" descr="未命名-3"/>
                    <pic:cNvPicPr>
                      <a:picLocks noChangeAspect="1"/>
                    </pic:cNvPicPr>
                  </pic:nvPicPr>
                  <pic:blipFill>
                    <a:blip r:embed="rId29"/>
                    <a:stretch>
                      <a:fillRect/>
                    </a:stretch>
                  </pic:blipFill>
                  <pic:spPr>
                    <a:xfrm>
                      <a:off x="0" y="0"/>
                      <a:ext cx="5439410" cy="2440305"/>
                    </a:xfrm>
                    <a:prstGeom prst="rect">
                      <a:avLst/>
                    </a:prstGeom>
                    <a:noFill/>
                    <a:ln>
                      <a:noFill/>
                    </a:ln>
                  </pic:spPr>
                </pic:pic>
              </a:graphicData>
            </a:graphic>
          </wp:inline>
        </w:drawing>
      </w:r>
    </w:p>
    <w:p w14:paraId="096AC926">
      <w:pPr>
        <w:spacing w:before="120" w:beforeLines="50" w:after="120" w:afterLines="50"/>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图4-1</w:t>
      </w:r>
      <w:r>
        <w:rPr>
          <w:rFonts w:hint="eastAsia" w:ascii="微软雅黑 Light" w:hAnsi="微软雅黑 Light" w:cs="微软雅黑 Light"/>
          <w:sz w:val="21"/>
          <w:szCs w:val="21"/>
          <w:lang w:val="en-US" w:eastAsia="zh-CN"/>
        </w:rPr>
        <w:t>1</w:t>
      </w:r>
      <w:r>
        <w:rPr>
          <w:rFonts w:hint="eastAsia" w:ascii="微软雅黑 Light" w:hAnsi="微软雅黑 Light" w:eastAsia="微软雅黑 Light" w:cs="微软雅黑 Light"/>
          <w:sz w:val="21"/>
          <w:szCs w:val="21"/>
        </w:rPr>
        <w:t>能耗分析报告</w:t>
      </w:r>
    </w:p>
    <w:p w14:paraId="49CE67E8">
      <w:pPr>
        <w:pStyle w:val="4"/>
        <w:bidi w:val="0"/>
        <w:rPr>
          <w:rFonts w:hint="eastAsia"/>
        </w:rPr>
      </w:pPr>
      <w:bookmarkStart w:id="97" w:name="_Toc5804"/>
      <w:bookmarkStart w:id="98" w:name="_Toc29090"/>
      <w:r>
        <w:rPr>
          <w:rFonts w:hint="eastAsia"/>
        </w:rPr>
        <w:t>4.4.2获取能耗分析报告</w:t>
      </w:r>
      <w:bookmarkEnd w:id="97"/>
      <w:bookmarkEnd w:id="98"/>
    </w:p>
    <w:p w14:paraId="36FF8277">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能耗分析报告的分析周期可以按日、周、月、季、年等周期进行选择，也可以按照自定义周期进行分析。能耗分析报告项目主要如下：</w:t>
      </w:r>
    </w:p>
    <w:p w14:paraId="1C1CBE56">
      <w:pPr>
        <w:numPr>
          <w:ilvl w:val="0"/>
          <w:numId w:val="23"/>
        </w:numPr>
        <w:tabs>
          <w:tab w:val="left" w:pos="900"/>
        </w:tabs>
        <w:spacing w:line="360" w:lineRule="auto"/>
        <w:ind w:left="0" w:firstLine="42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组织结构总能耗和单位面积总能耗；</w:t>
      </w:r>
    </w:p>
    <w:p w14:paraId="4BA338CF">
      <w:pPr>
        <w:numPr>
          <w:ilvl w:val="0"/>
          <w:numId w:val="23"/>
        </w:numPr>
        <w:tabs>
          <w:tab w:val="left" w:pos="900"/>
        </w:tabs>
        <w:spacing w:line="360" w:lineRule="auto"/>
        <w:ind w:left="0" w:firstLine="42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按空调、照明、动力、特殊、其他类型分项统计的总能耗和单位面积能耗（一般以饼状图或柱状图显示）；</w:t>
      </w:r>
    </w:p>
    <w:p w14:paraId="2F723667">
      <w:pPr>
        <w:numPr>
          <w:ilvl w:val="0"/>
          <w:numId w:val="23"/>
        </w:numPr>
        <w:tabs>
          <w:tab w:val="left" w:pos="900"/>
        </w:tabs>
        <w:spacing w:line="360" w:lineRule="auto"/>
        <w:ind w:left="0" w:firstLine="42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在统计周期内，总能耗和分项能耗的变化趋势（一般以曲线趋势图和柱状图来显示）；</w:t>
      </w:r>
    </w:p>
    <w:p w14:paraId="286304E9">
      <w:pPr>
        <w:numPr>
          <w:ilvl w:val="0"/>
          <w:numId w:val="23"/>
        </w:numPr>
        <w:tabs>
          <w:tab w:val="left" w:pos="900"/>
        </w:tabs>
        <w:spacing w:line="360" w:lineRule="auto"/>
        <w:ind w:left="0" w:firstLine="42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按照建筑和房间的业务类型进行（如对于智能建筑，可分类统计办公用电、生产用电、研发用电、服务器用电等）进行‘分类能耗统计’（一般以饼状图或柱状图显示）；</w:t>
      </w:r>
    </w:p>
    <w:p w14:paraId="60ED2DD8">
      <w:pPr>
        <w:numPr>
          <w:ilvl w:val="0"/>
          <w:numId w:val="23"/>
        </w:numPr>
        <w:tabs>
          <w:tab w:val="left" w:pos="900"/>
        </w:tabs>
        <w:spacing w:line="360" w:lineRule="auto"/>
        <w:ind w:left="0" w:firstLine="42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在统计周期内，分类能耗的变化趋势（一般以曲线趋势图和柱状图来显示）；</w:t>
      </w:r>
    </w:p>
    <w:p w14:paraId="758BF611">
      <w:pPr>
        <w:numPr>
          <w:ilvl w:val="0"/>
          <w:numId w:val="23"/>
        </w:numPr>
        <w:tabs>
          <w:tab w:val="left" w:pos="900"/>
        </w:tabs>
        <w:spacing w:line="360" w:lineRule="auto"/>
        <w:ind w:left="0" w:firstLine="42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按组织的分支机构统计总能耗和分类、分项能耗；</w:t>
      </w:r>
    </w:p>
    <w:p w14:paraId="3843BFD3">
      <w:pPr>
        <w:numPr>
          <w:ilvl w:val="0"/>
          <w:numId w:val="23"/>
        </w:numPr>
        <w:tabs>
          <w:tab w:val="left" w:pos="900"/>
        </w:tabs>
        <w:spacing w:line="360" w:lineRule="auto"/>
        <w:ind w:left="0" w:firstLine="42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在分析报告区域内，对比同类建筑或同业务类型房间的用能情况对比分析；</w:t>
      </w:r>
    </w:p>
    <w:p w14:paraId="264FE59E">
      <w:pPr>
        <w:numPr>
          <w:ilvl w:val="0"/>
          <w:numId w:val="23"/>
        </w:numPr>
        <w:tabs>
          <w:tab w:val="left" w:pos="900"/>
        </w:tabs>
        <w:spacing w:line="360" w:lineRule="auto"/>
        <w:ind w:left="0" w:firstLine="42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在统计周期内，组织机构的定员人均能耗的对比分析；</w:t>
      </w:r>
    </w:p>
    <w:p w14:paraId="0CFE13FB">
      <w:pPr>
        <w:numPr>
          <w:ilvl w:val="0"/>
          <w:numId w:val="23"/>
        </w:numPr>
        <w:tabs>
          <w:tab w:val="left" w:pos="900"/>
        </w:tabs>
        <w:spacing w:line="360" w:lineRule="auto"/>
        <w:ind w:left="0" w:firstLine="42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用能诊断分析，包括：</w:t>
      </w:r>
    </w:p>
    <w:p w14:paraId="68AC00AB">
      <w:pPr>
        <w:pStyle w:val="49"/>
        <w:numPr>
          <w:ilvl w:val="0"/>
          <w:numId w:val="24"/>
        </w:numPr>
        <w:ind w:firstLine="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按工作日和</w:t>
      </w:r>
      <w:r>
        <w:rPr>
          <w:rFonts w:hint="eastAsia" w:ascii="微软雅黑 Light" w:hAnsi="微软雅黑 Light" w:eastAsia="微软雅黑 Light" w:cs="微软雅黑 Light"/>
          <w:kern w:val="24"/>
          <w:sz w:val="21"/>
          <w:szCs w:val="21"/>
        </w:rPr>
        <w:t>节假日</w:t>
      </w:r>
      <w:r>
        <w:rPr>
          <w:rFonts w:hint="eastAsia" w:ascii="微软雅黑 Light" w:hAnsi="微软雅黑 Light" w:eastAsia="微软雅黑 Light" w:cs="微软雅黑 Light"/>
          <w:sz w:val="21"/>
          <w:szCs w:val="21"/>
        </w:rPr>
        <w:t>诊断组织机构用能异常；</w:t>
      </w:r>
    </w:p>
    <w:p w14:paraId="75B5927E">
      <w:pPr>
        <w:pStyle w:val="49"/>
        <w:numPr>
          <w:ilvl w:val="0"/>
          <w:numId w:val="24"/>
        </w:numPr>
        <w:ind w:firstLine="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按</w:t>
      </w:r>
      <w:r>
        <w:rPr>
          <w:rFonts w:hint="eastAsia" w:ascii="微软雅黑 Light" w:hAnsi="微软雅黑 Light" w:eastAsia="微软雅黑 Light" w:cs="微软雅黑 Light"/>
          <w:kern w:val="24"/>
          <w:sz w:val="21"/>
          <w:szCs w:val="21"/>
        </w:rPr>
        <w:t>每日</w:t>
      </w:r>
      <w:r>
        <w:rPr>
          <w:rFonts w:hint="eastAsia" w:ascii="微软雅黑 Light" w:hAnsi="微软雅黑 Light" w:eastAsia="微软雅黑 Light" w:cs="微软雅黑 Light"/>
          <w:sz w:val="21"/>
          <w:szCs w:val="21"/>
        </w:rPr>
        <w:t>作息时间诊断组织机构用能异常；</w:t>
      </w:r>
    </w:p>
    <w:p w14:paraId="3FE39EE4">
      <w:pPr>
        <w:pStyle w:val="49"/>
        <w:numPr>
          <w:ilvl w:val="0"/>
          <w:numId w:val="24"/>
        </w:numPr>
        <w:ind w:firstLine="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分析统计周期内的历史数据，找出用能异常时间点；</w:t>
      </w:r>
    </w:p>
    <w:p w14:paraId="57DAF3A1">
      <w:pPr>
        <w:pStyle w:val="49"/>
        <w:numPr>
          <w:ilvl w:val="0"/>
          <w:numId w:val="24"/>
        </w:numPr>
        <w:ind w:firstLine="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建立组织机构所在区域的分项用能标准；</w:t>
      </w:r>
    </w:p>
    <w:p w14:paraId="32A350D5">
      <w:pPr>
        <w:pStyle w:val="49"/>
        <w:numPr>
          <w:ilvl w:val="0"/>
          <w:numId w:val="24"/>
        </w:numPr>
        <w:ind w:firstLine="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根据分析周期内，组织机构所在区域的温度变化曲线，对比空调用能趋势，分析异常情况；</w:t>
      </w:r>
    </w:p>
    <w:p w14:paraId="63BF4428">
      <w:pPr>
        <w:numPr>
          <w:ilvl w:val="0"/>
          <w:numId w:val="23"/>
        </w:numPr>
        <w:tabs>
          <w:tab w:val="left" w:pos="900"/>
        </w:tabs>
        <w:spacing w:line="360" w:lineRule="auto"/>
        <w:ind w:left="0" w:firstLine="42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选择分析项目</w:t>
      </w:r>
    </w:p>
    <w:p w14:paraId="4FFDC9D4">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选择分析项目包括分析周期（日、周、月、季、年）选择、分析内容（总能耗、人均能耗、分项能耗等）选择、呈现方式（饼图、柱状图、折线图）选择。</w:t>
      </w:r>
    </w:p>
    <w:p w14:paraId="5F17A5CA">
      <w:pPr>
        <w:spacing w:line="360" w:lineRule="auto"/>
        <w:rPr>
          <w:rFonts w:hint="eastAsia" w:ascii="微软雅黑 Light" w:hAnsi="微软雅黑 Light" w:eastAsia="微软雅黑 Light" w:cs="微软雅黑 Light"/>
          <w:sz w:val="21"/>
          <w:szCs w:val="21"/>
          <w:lang w:eastAsia="zh-CN"/>
        </w:rPr>
      </w:pPr>
      <w:r>
        <w:rPr>
          <w:rFonts w:hint="eastAsia" w:ascii="微软雅黑 Light" w:hAnsi="微软雅黑 Light" w:eastAsia="微软雅黑 Light" w:cs="微软雅黑 Light"/>
          <w:sz w:val="21"/>
          <w:szCs w:val="21"/>
          <w:lang w:eastAsia="zh-CN"/>
        </w:rPr>
        <w:drawing>
          <wp:inline distT="0" distB="0" distL="114300" distR="114300">
            <wp:extent cx="5797550" cy="3260725"/>
            <wp:effectExtent l="0" t="0" r="12700" b="15875"/>
            <wp:docPr id="17" name="图片 61" descr="实时用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1" descr="实时用电"/>
                    <pic:cNvPicPr>
                      <a:picLocks noChangeAspect="1"/>
                    </pic:cNvPicPr>
                  </pic:nvPicPr>
                  <pic:blipFill>
                    <a:blip r:embed="rId30"/>
                    <a:stretch>
                      <a:fillRect/>
                    </a:stretch>
                  </pic:blipFill>
                  <pic:spPr>
                    <a:xfrm>
                      <a:off x="0" y="0"/>
                      <a:ext cx="5797550" cy="3260725"/>
                    </a:xfrm>
                    <a:prstGeom prst="rect">
                      <a:avLst/>
                    </a:prstGeom>
                    <a:noFill/>
                    <a:ln>
                      <a:noFill/>
                    </a:ln>
                  </pic:spPr>
                </pic:pic>
              </a:graphicData>
            </a:graphic>
          </wp:inline>
        </w:drawing>
      </w:r>
    </w:p>
    <w:p w14:paraId="27A95941">
      <w:pPr>
        <w:spacing w:before="120" w:beforeLines="50" w:after="120" w:afterLines="50"/>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图4-1</w:t>
      </w:r>
      <w:r>
        <w:rPr>
          <w:rFonts w:hint="eastAsia" w:ascii="微软雅黑 Light" w:hAnsi="微软雅黑 Light" w:cs="微软雅黑 Light"/>
          <w:sz w:val="21"/>
          <w:szCs w:val="21"/>
          <w:lang w:val="en-US" w:eastAsia="zh-CN"/>
        </w:rPr>
        <w:t>1</w:t>
      </w:r>
      <w:r>
        <w:rPr>
          <w:rFonts w:hint="eastAsia" w:ascii="微软雅黑 Light" w:hAnsi="微软雅黑 Light" w:eastAsia="微软雅黑 Light" w:cs="微软雅黑 Light"/>
          <w:sz w:val="21"/>
          <w:szCs w:val="21"/>
        </w:rPr>
        <w:t>能耗</w:t>
      </w:r>
      <w:r>
        <w:rPr>
          <w:rFonts w:hint="eastAsia" w:ascii="微软雅黑 Light" w:hAnsi="微软雅黑 Light" w:cs="微软雅黑 Light"/>
          <w:sz w:val="21"/>
          <w:szCs w:val="21"/>
          <w:lang w:val="en-US" w:eastAsia="zh-CN"/>
        </w:rPr>
        <w:t>查询</w:t>
      </w:r>
      <w:r>
        <w:rPr>
          <w:rFonts w:hint="eastAsia" w:ascii="微软雅黑 Light" w:hAnsi="微软雅黑 Light" w:eastAsia="微软雅黑 Light" w:cs="微软雅黑 Light"/>
          <w:sz w:val="21"/>
          <w:szCs w:val="21"/>
        </w:rPr>
        <w:t>报告</w:t>
      </w:r>
    </w:p>
    <w:p w14:paraId="1D6CFC12">
      <w:pPr>
        <w:spacing w:line="360" w:lineRule="auto"/>
        <w:rPr>
          <w:rFonts w:hint="eastAsia" w:ascii="微软雅黑 Light" w:hAnsi="微软雅黑 Light" w:eastAsia="微软雅黑 Light" w:cs="微软雅黑 Light"/>
          <w:sz w:val="21"/>
          <w:szCs w:val="21"/>
          <w:lang w:eastAsia="zh-CN"/>
        </w:rPr>
      </w:pPr>
    </w:p>
    <w:p w14:paraId="4854176E">
      <w:pPr>
        <w:pStyle w:val="3"/>
        <w:bidi w:val="0"/>
        <w:rPr>
          <w:rFonts w:hint="eastAsia"/>
          <w:lang w:val="en-US" w:eastAsia="zh-CN"/>
        </w:rPr>
      </w:pPr>
      <w:bookmarkStart w:id="99" w:name="_Toc225674478"/>
      <w:bookmarkStart w:id="100" w:name="_Toc225615393"/>
      <w:bookmarkStart w:id="101" w:name="_Toc5720"/>
      <w:bookmarkStart w:id="102" w:name="_Toc312692233"/>
      <w:bookmarkStart w:id="103" w:name="_Toc32530"/>
      <w:bookmarkStart w:id="104" w:name="_Toc26392"/>
      <w:bookmarkStart w:id="105" w:name="_Toc296285022"/>
      <w:r>
        <w:rPr>
          <w:rFonts w:hint="eastAsia"/>
          <w:lang w:val="en-US" w:eastAsia="zh-CN"/>
        </w:rPr>
        <w:t>4.5系统报警</w:t>
      </w:r>
      <w:bookmarkEnd w:id="99"/>
      <w:bookmarkEnd w:id="100"/>
      <w:r>
        <w:rPr>
          <w:rFonts w:hint="eastAsia"/>
          <w:lang w:val="en-US" w:eastAsia="zh-CN"/>
        </w:rPr>
        <w:t>子系统</w:t>
      </w:r>
      <w:bookmarkEnd w:id="101"/>
      <w:bookmarkEnd w:id="102"/>
      <w:bookmarkEnd w:id="103"/>
      <w:bookmarkEnd w:id="104"/>
      <w:bookmarkEnd w:id="105"/>
    </w:p>
    <w:p w14:paraId="561FEC04">
      <w:pPr>
        <w:spacing w:line="360" w:lineRule="auto"/>
        <w:ind w:firstLine="420" w:firstLineChars="200"/>
        <w:rPr>
          <w:rFonts w:hint="eastAsia" w:ascii="微软雅黑 Light" w:hAnsi="微软雅黑 Light" w:eastAsia="微软雅黑 Light" w:cs="微软雅黑 Light"/>
          <w:kern w:val="0"/>
          <w:sz w:val="21"/>
          <w:szCs w:val="21"/>
        </w:rPr>
      </w:pPr>
      <w:r>
        <w:rPr>
          <w:rFonts w:hint="eastAsia" w:ascii="微软雅黑 Light" w:hAnsi="微软雅黑 Light" w:eastAsia="微软雅黑 Light" w:cs="微软雅黑 Light"/>
          <w:kern w:val="0"/>
          <w:sz w:val="21"/>
          <w:szCs w:val="21"/>
        </w:rPr>
        <w:t>系统提供能耗数据采集器异常报警和能耗监测报警、E-mail报警、短信报警、能耗报警报告自动生成、能耗报警记录查询等功能。</w:t>
      </w:r>
    </w:p>
    <w:p w14:paraId="0CB75C74">
      <w:pPr>
        <w:pStyle w:val="4"/>
        <w:bidi w:val="0"/>
        <w:rPr>
          <w:rFonts w:hint="eastAsia"/>
        </w:rPr>
      </w:pPr>
      <w:bookmarkStart w:id="106" w:name="_Toc32384"/>
      <w:bookmarkStart w:id="107" w:name="_Toc18015"/>
      <w:r>
        <w:rPr>
          <w:rFonts w:hint="eastAsia"/>
        </w:rPr>
        <w:t>4.5.1设备异常和用能监测报警</w:t>
      </w:r>
      <w:bookmarkEnd w:id="106"/>
      <w:bookmarkEnd w:id="107"/>
    </w:p>
    <w:p w14:paraId="405A9A17">
      <w:pPr>
        <w:spacing w:line="360" w:lineRule="auto"/>
        <w:ind w:firstLine="420" w:firstLineChars="200"/>
        <w:rPr>
          <w:rFonts w:hint="eastAsia" w:ascii="微软雅黑 Light" w:hAnsi="微软雅黑 Light" w:eastAsia="微软雅黑 Light" w:cs="微软雅黑 Light"/>
          <w:kern w:val="0"/>
          <w:sz w:val="21"/>
          <w:szCs w:val="21"/>
        </w:rPr>
      </w:pPr>
      <w:r>
        <w:rPr>
          <w:rFonts w:hint="eastAsia" w:ascii="微软雅黑 Light" w:hAnsi="微软雅黑 Light" w:eastAsia="微软雅黑 Light" w:cs="微软雅黑 Light"/>
          <w:kern w:val="0"/>
          <w:sz w:val="21"/>
          <w:szCs w:val="21"/>
        </w:rPr>
        <w:t>系统根据预先设定的能耗预警条件，如采集器状态报警、建筑日用能报警、采集数据质量报警等，生成能耗报警记录、设备报警记录和监察能耗超标情况。</w:t>
      </w:r>
    </w:p>
    <w:p w14:paraId="20D41FAD">
      <w:pPr>
        <w:pStyle w:val="4"/>
        <w:bidi w:val="0"/>
        <w:rPr>
          <w:rFonts w:hint="eastAsia"/>
        </w:rPr>
      </w:pPr>
      <w:bookmarkStart w:id="108" w:name="_Toc26817"/>
      <w:bookmarkStart w:id="109" w:name="_Toc11591"/>
      <w:r>
        <w:rPr>
          <w:rFonts w:hint="eastAsia"/>
        </w:rPr>
        <w:t>4.5.2能耗报警报告自动生成</w:t>
      </w:r>
      <w:bookmarkEnd w:id="108"/>
      <w:bookmarkEnd w:id="109"/>
    </w:p>
    <w:p w14:paraId="7D6D2C34">
      <w:pPr>
        <w:adjustRightInd w:val="0"/>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用户通过设定时间、选择用能监测项，系统将自动生成能耗报警报告。</w:t>
      </w:r>
    </w:p>
    <w:p w14:paraId="227BAFA9">
      <w:pPr>
        <w:pStyle w:val="4"/>
        <w:bidi w:val="0"/>
        <w:rPr>
          <w:rFonts w:hint="eastAsia"/>
        </w:rPr>
      </w:pPr>
      <w:bookmarkStart w:id="110" w:name="_Toc18314"/>
      <w:bookmarkStart w:id="111" w:name="_Toc30992"/>
      <w:r>
        <w:rPr>
          <w:rFonts w:hint="eastAsia"/>
        </w:rPr>
        <w:t>4.5.3能耗报警记录查询</w:t>
      </w:r>
      <w:bookmarkEnd w:id="110"/>
      <w:bookmarkEnd w:id="111"/>
    </w:p>
    <w:p w14:paraId="5014AFAB">
      <w:pPr>
        <w:adjustRightInd w:val="0"/>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用户可以根据需要，查询能耗报警记录，查询的结果可以导出到EXCEL。</w:t>
      </w:r>
    </w:p>
    <w:p w14:paraId="5550EBDE">
      <w:pPr>
        <w:spacing w:line="360" w:lineRule="auto"/>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drawing>
          <wp:inline distT="0" distB="0" distL="114300" distR="114300">
            <wp:extent cx="5403215" cy="2600325"/>
            <wp:effectExtent l="0" t="0" r="6985" b="9525"/>
            <wp:docPr id="18" name="图片 62" descr="实时报警页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62" descr="实时报警页面"/>
                    <pic:cNvPicPr>
                      <a:picLocks noChangeAspect="1"/>
                    </pic:cNvPicPr>
                  </pic:nvPicPr>
                  <pic:blipFill>
                    <a:blip r:embed="rId31"/>
                    <a:stretch>
                      <a:fillRect/>
                    </a:stretch>
                  </pic:blipFill>
                  <pic:spPr>
                    <a:xfrm>
                      <a:off x="0" y="0"/>
                      <a:ext cx="5403215" cy="2600325"/>
                    </a:xfrm>
                    <a:prstGeom prst="rect">
                      <a:avLst/>
                    </a:prstGeom>
                    <a:noFill/>
                    <a:ln>
                      <a:noFill/>
                    </a:ln>
                  </pic:spPr>
                </pic:pic>
              </a:graphicData>
            </a:graphic>
          </wp:inline>
        </w:drawing>
      </w:r>
    </w:p>
    <w:p w14:paraId="5237FB7D">
      <w:pPr>
        <w:spacing w:before="120" w:beforeLines="50" w:after="120" w:afterLines="50"/>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图4-13能耗报警记录查询界面示例</w:t>
      </w:r>
    </w:p>
    <w:p w14:paraId="17133B1F">
      <w:pPr>
        <w:pStyle w:val="3"/>
        <w:bidi w:val="0"/>
        <w:rPr>
          <w:rFonts w:hint="eastAsia"/>
        </w:rPr>
      </w:pPr>
      <w:bookmarkStart w:id="112" w:name="_Toc312692235"/>
      <w:bookmarkStart w:id="113" w:name="_Toc7816"/>
      <w:bookmarkStart w:id="114" w:name="_Toc226"/>
      <w:bookmarkStart w:id="115" w:name="_Toc272317678"/>
      <w:bookmarkStart w:id="116" w:name="_Toc225674490"/>
      <w:bookmarkStart w:id="117" w:name="_Toc28919"/>
      <w:bookmarkStart w:id="118" w:name="_Toc296285028"/>
      <w:bookmarkStart w:id="119" w:name="_Toc272676789"/>
      <w:r>
        <w:rPr>
          <w:rFonts w:hint="eastAsia"/>
          <w:lang w:val="en-US" w:eastAsia="zh-CN"/>
        </w:rPr>
        <w:t>4.6</w:t>
      </w:r>
      <w:r>
        <w:rPr>
          <w:rFonts w:hint="eastAsia"/>
        </w:rPr>
        <w:t>系统管理和维护子系统</w:t>
      </w:r>
      <w:bookmarkEnd w:id="112"/>
      <w:bookmarkEnd w:id="113"/>
      <w:bookmarkEnd w:id="114"/>
    </w:p>
    <w:p w14:paraId="3B424F94">
      <w:pPr>
        <w:pStyle w:val="4"/>
        <w:bidi w:val="0"/>
        <w:rPr>
          <w:rFonts w:hint="eastAsia"/>
        </w:rPr>
      </w:pPr>
      <w:bookmarkStart w:id="120" w:name="_Toc5618"/>
      <w:bookmarkStart w:id="121" w:name="_Toc3426"/>
      <w:r>
        <w:rPr>
          <w:rFonts w:hint="eastAsia"/>
        </w:rPr>
        <w:t>4.6.1能耗模型管理系统</w:t>
      </w:r>
      <w:bookmarkEnd w:id="115"/>
      <w:bookmarkEnd w:id="116"/>
      <w:bookmarkEnd w:id="117"/>
      <w:bookmarkEnd w:id="118"/>
      <w:bookmarkEnd w:id="119"/>
      <w:bookmarkEnd w:id="120"/>
      <w:bookmarkEnd w:id="121"/>
    </w:p>
    <w:p w14:paraId="10108FC8">
      <w:pPr>
        <w:numPr>
          <w:ilvl w:val="0"/>
          <w:numId w:val="25"/>
        </w:numPr>
        <w:spacing w:before="100" w:beforeAutospacing="1" w:line="360" w:lineRule="auto"/>
        <w:rPr>
          <w:rFonts w:hint="eastAsia" w:ascii="微软雅黑 Light" w:hAnsi="微软雅黑 Light" w:eastAsia="微软雅黑 Light" w:cs="微软雅黑 Light"/>
          <w:b/>
          <w:sz w:val="21"/>
          <w:szCs w:val="21"/>
        </w:rPr>
      </w:pPr>
      <w:r>
        <w:rPr>
          <w:rFonts w:hint="eastAsia" w:ascii="微软雅黑 Light" w:hAnsi="微软雅黑 Light" w:eastAsia="微软雅黑 Light" w:cs="微软雅黑 Light"/>
          <w:b/>
          <w:sz w:val="21"/>
          <w:szCs w:val="21"/>
        </w:rPr>
        <w:t>静态信息维护</w:t>
      </w:r>
    </w:p>
    <w:p w14:paraId="79E5CB97">
      <w:pPr>
        <w:adjustRightInd w:val="0"/>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包括建筑物基本信息、行政区域、建筑物类型、分类分项能耗数据字典及其他数据字典等基础信息维护。</w:t>
      </w:r>
    </w:p>
    <w:p w14:paraId="1CF56F95">
      <w:pPr>
        <w:numPr>
          <w:ilvl w:val="0"/>
          <w:numId w:val="25"/>
        </w:numPr>
        <w:spacing w:before="100" w:beforeAutospacing="1" w:line="360" w:lineRule="auto"/>
        <w:rPr>
          <w:rFonts w:hint="eastAsia" w:ascii="微软雅黑 Light" w:hAnsi="微软雅黑 Light" w:eastAsia="微软雅黑 Light" w:cs="微软雅黑 Light"/>
          <w:b/>
          <w:sz w:val="21"/>
          <w:szCs w:val="21"/>
        </w:rPr>
      </w:pPr>
      <w:r>
        <w:rPr>
          <w:rFonts w:hint="eastAsia" w:ascii="微软雅黑 Light" w:hAnsi="微软雅黑 Light" w:eastAsia="微软雅黑 Light" w:cs="微软雅黑 Light"/>
          <w:b/>
          <w:sz w:val="21"/>
          <w:szCs w:val="21"/>
        </w:rPr>
        <w:t>配置信息维护</w:t>
      </w:r>
    </w:p>
    <w:p w14:paraId="67C92687">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建筑物的监测支路配置信息对分项能耗的拆分计算特别关键。建筑物的分项计量中清晰地包含其配置信息，包括建筑物能耗采集终端信息、计量仪表信息，采集终端和计量仪表的对应关系，建筑物用能支路拓扑关系及各个回路计量仪表安装信息，建筑物分类分项能耗与用能支路之间的关系等。</w:t>
      </w:r>
    </w:p>
    <w:p w14:paraId="0D9BA79B">
      <w:pPr>
        <w:spacing w:line="360" w:lineRule="auto"/>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drawing>
          <wp:inline distT="0" distB="0" distL="114300" distR="114300">
            <wp:extent cx="5443855" cy="3112770"/>
            <wp:effectExtent l="0" t="0" r="4445" b="11430"/>
            <wp:docPr id="19" name="图片 19"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4"/>
                    <pic:cNvPicPr>
                      <a:picLocks noChangeAspect="1"/>
                    </pic:cNvPicPr>
                  </pic:nvPicPr>
                  <pic:blipFill>
                    <a:blip r:embed="rId32"/>
                    <a:stretch>
                      <a:fillRect/>
                    </a:stretch>
                  </pic:blipFill>
                  <pic:spPr>
                    <a:xfrm>
                      <a:off x="0" y="0"/>
                      <a:ext cx="5443855" cy="3112770"/>
                    </a:xfrm>
                    <a:prstGeom prst="rect">
                      <a:avLst/>
                    </a:prstGeom>
                    <a:noFill/>
                    <a:ln>
                      <a:noFill/>
                    </a:ln>
                  </pic:spPr>
                </pic:pic>
              </a:graphicData>
            </a:graphic>
          </wp:inline>
        </w:drawing>
      </w:r>
    </w:p>
    <w:p w14:paraId="09A22AA2">
      <w:pPr>
        <w:spacing w:before="120" w:beforeLines="50" w:after="120" w:afterLines="50"/>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图4-14多级能耗配置模型</w:t>
      </w:r>
    </w:p>
    <w:p w14:paraId="314E3D64">
      <w:pPr>
        <w:pStyle w:val="5"/>
        <w:spacing w:before="0" w:after="0" w:line="360" w:lineRule="auto"/>
        <w:ind w:left="0" w:firstLine="0"/>
        <w:rPr>
          <w:rFonts w:hint="eastAsia" w:ascii="微软雅黑 Light" w:hAnsi="微软雅黑 Light" w:eastAsia="微软雅黑 Light" w:cs="微软雅黑 Light"/>
          <w:sz w:val="21"/>
          <w:szCs w:val="21"/>
        </w:rPr>
      </w:pPr>
      <w:bookmarkStart w:id="122" w:name="_Toc225674491"/>
      <w:r>
        <w:rPr>
          <w:rFonts w:hint="eastAsia" w:ascii="微软雅黑 Light" w:hAnsi="微软雅黑 Light" w:eastAsia="微软雅黑 Light" w:cs="微软雅黑 Light"/>
          <w:sz w:val="21"/>
          <w:szCs w:val="21"/>
        </w:rPr>
        <w:t>4.6.1.1区域组态</w:t>
      </w:r>
      <w:bookmarkEnd w:id="122"/>
    </w:p>
    <w:p w14:paraId="4D283A9E">
      <w:pPr>
        <w:pStyle w:val="34"/>
        <w:spacing w:line="360" w:lineRule="auto"/>
        <w:ind w:firstLine="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区域可以是行政级的划分，也可以是一个组织结构，用于完成系统的结构组织、系统检索和获得统计分析与计算范围。</w:t>
      </w:r>
    </w:p>
    <w:p w14:paraId="738CD25A">
      <w:pPr>
        <w:pStyle w:val="34"/>
        <w:spacing w:line="360" w:lineRule="auto"/>
        <w:ind w:firstLine="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区域的信息包括：</w:t>
      </w:r>
    </w:p>
    <w:p w14:paraId="19494374">
      <w:pPr>
        <w:pStyle w:val="34"/>
        <w:numPr>
          <w:ilvl w:val="0"/>
          <w:numId w:val="26"/>
        </w:numPr>
        <w:spacing w:line="360" w:lineRule="auto"/>
        <w:ind w:left="420" w:firstLine="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区域的名称，区域的描述，区域编号；</w:t>
      </w:r>
    </w:p>
    <w:p w14:paraId="24D6C7B0">
      <w:pPr>
        <w:pStyle w:val="34"/>
        <w:numPr>
          <w:ilvl w:val="0"/>
          <w:numId w:val="26"/>
        </w:numPr>
        <w:spacing w:line="360" w:lineRule="auto"/>
        <w:ind w:left="420" w:firstLine="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区域相关的各种附加信息：典型的区域附加信息包括区域的图片、区域的简介等；</w:t>
      </w:r>
    </w:p>
    <w:p w14:paraId="76637149">
      <w:pPr>
        <w:numPr>
          <w:ilvl w:val="0"/>
          <w:numId w:val="27"/>
        </w:numPr>
        <w:spacing w:line="360" w:lineRule="auto"/>
        <w:ind w:left="845"/>
        <w:rPr>
          <w:rFonts w:hint="eastAsia" w:ascii="微软雅黑 Light" w:hAnsi="微软雅黑 Light" w:eastAsia="微软雅黑 Light" w:cs="微软雅黑 Light"/>
          <w:b/>
          <w:sz w:val="21"/>
          <w:szCs w:val="21"/>
        </w:rPr>
      </w:pPr>
      <w:r>
        <w:rPr>
          <w:rFonts w:hint="eastAsia" w:ascii="微软雅黑 Light" w:hAnsi="微软雅黑 Light" w:eastAsia="微软雅黑 Light" w:cs="微软雅黑 Light"/>
          <w:b/>
          <w:sz w:val="21"/>
          <w:szCs w:val="21"/>
        </w:rPr>
        <w:t>编辑区域属性</w:t>
      </w:r>
    </w:p>
    <w:p w14:paraId="67821E96">
      <w:pPr>
        <w:pStyle w:val="34"/>
        <w:spacing w:line="360" w:lineRule="auto"/>
        <w:ind w:firstLine="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通过选择区域对象，在区域的属性页上修改区域的属性。</w:t>
      </w:r>
    </w:p>
    <w:p w14:paraId="69D93061">
      <w:pPr>
        <w:numPr>
          <w:ilvl w:val="0"/>
          <w:numId w:val="27"/>
        </w:numPr>
        <w:spacing w:line="360" w:lineRule="auto"/>
        <w:ind w:left="845"/>
        <w:rPr>
          <w:rFonts w:hint="eastAsia" w:ascii="微软雅黑 Light" w:hAnsi="微软雅黑 Light" w:eastAsia="微软雅黑 Light" w:cs="微软雅黑 Light"/>
          <w:b/>
          <w:sz w:val="21"/>
          <w:szCs w:val="21"/>
        </w:rPr>
      </w:pPr>
      <w:r>
        <w:rPr>
          <w:rFonts w:hint="eastAsia" w:ascii="微软雅黑 Light" w:hAnsi="微软雅黑 Light" w:eastAsia="微软雅黑 Light" w:cs="微软雅黑 Light"/>
          <w:b/>
          <w:sz w:val="21"/>
          <w:szCs w:val="21"/>
        </w:rPr>
        <w:t>删除区域</w:t>
      </w:r>
    </w:p>
    <w:p w14:paraId="04E3C1C8">
      <w:pPr>
        <w:pStyle w:val="34"/>
        <w:spacing w:line="360" w:lineRule="auto"/>
        <w:ind w:firstLine="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删除区域的动作并不真正将区域删除，而是在数据库中将区域打上作废标记。删除的区域可以从回收站中得到恢复。</w:t>
      </w:r>
    </w:p>
    <w:p w14:paraId="452223E2">
      <w:pPr>
        <w:numPr>
          <w:ilvl w:val="0"/>
          <w:numId w:val="27"/>
        </w:numPr>
        <w:spacing w:line="360" w:lineRule="auto"/>
        <w:ind w:left="845"/>
        <w:rPr>
          <w:rFonts w:hint="eastAsia" w:ascii="微软雅黑 Light" w:hAnsi="微软雅黑 Light" w:eastAsia="微软雅黑 Light" w:cs="微软雅黑 Light"/>
          <w:b/>
          <w:sz w:val="21"/>
          <w:szCs w:val="21"/>
        </w:rPr>
      </w:pPr>
      <w:r>
        <w:rPr>
          <w:rFonts w:hint="eastAsia" w:ascii="微软雅黑 Light" w:hAnsi="微软雅黑 Light" w:eastAsia="微软雅黑 Light" w:cs="微软雅黑 Light"/>
          <w:b/>
          <w:sz w:val="21"/>
          <w:szCs w:val="21"/>
        </w:rPr>
        <w:t>添加区域</w:t>
      </w:r>
    </w:p>
    <w:p w14:paraId="155F914F">
      <w:pPr>
        <w:pStyle w:val="34"/>
        <w:spacing w:line="360" w:lineRule="auto"/>
        <w:ind w:firstLine="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添加区域的名称必须在选中区域的子级中唯一。</w:t>
      </w:r>
    </w:p>
    <w:p w14:paraId="39178F8C">
      <w:pPr>
        <w:pStyle w:val="5"/>
        <w:spacing w:before="0" w:after="0" w:line="360" w:lineRule="auto"/>
        <w:ind w:left="0" w:firstLine="0"/>
        <w:rPr>
          <w:rFonts w:hint="eastAsia" w:ascii="微软雅黑 Light" w:hAnsi="微软雅黑 Light" w:eastAsia="微软雅黑 Light" w:cs="微软雅黑 Light"/>
          <w:sz w:val="21"/>
          <w:szCs w:val="21"/>
        </w:rPr>
      </w:pPr>
      <w:bookmarkStart w:id="123" w:name="_Toc225674492"/>
      <w:r>
        <w:rPr>
          <w:rFonts w:hint="eastAsia" w:ascii="微软雅黑 Light" w:hAnsi="微软雅黑 Light" w:eastAsia="微软雅黑 Light" w:cs="微软雅黑 Light"/>
          <w:sz w:val="21"/>
          <w:szCs w:val="21"/>
        </w:rPr>
        <w:t>4.6.1.2组织机构组态</w:t>
      </w:r>
      <w:bookmarkEnd w:id="123"/>
    </w:p>
    <w:p w14:paraId="0E1ECC5E">
      <w:pPr>
        <w:pStyle w:val="34"/>
        <w:spacing w:line="360" w:lineRule="auto"/>
        <w:ind w:firstLine="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组织机构指能耗计量表计所在的某一单位，或单位的一个分支机构，或一座建筑物的某一楼层。一个组织机构可以进行独立的能耗统计分析计算。</w:t>
      </w:r>
    </w:p>
    <w:p w14:paraId="68BA6B70">
      <w:pPr>
        <w:pStyle w:val="34"/>
        <w:spacing w:line="360" w:lineRule="auto"/>
        <w:ind w:firstLine="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组织机构的信息通常包括：组织机构编码、组织机构名称、组织机构描述。</w:t>
      </w:r>
    </w:p>
    <w:p w14:paraId="022FF469">
      <w:pPr>
        <w:pStyle w:val="34"/>
        <w:spacing w:line="360" w:lineRule="auto"/>
        <w:ind w:firstLine="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组织机构组态主要包括：</w:t>
      </w:r>
    </w:p>
    <w:p w14:paraId="5F0FD8D0">
      <w:pPr>
        <w:numPr>
          <w:ilvl w:val="0"/>
          <w:numId w:val="28"/>
        </w:numPr>
        <w:spacing w:line="360" w:lineRule="auto"/>
        <w:ind w:left="845"/>
        <w:rPr>
          <w:rFonts w:hint="eastAsia" w:ascii="微软雅黑 Light" w:hAnsi="微软雅黑 Light" w:eastAsia="微软雅黑 Light" w:cs="微软雅黑 Light"/>
          <w:b/>
          <w:sz w:val="21"/>
          <w:szCs w:val="21"/>
        </w:rPr>
      </w:pPr>
      <w:r>
        <w:rPr>
          <w:rFonts w:hint="eastAsia" w:ascii="微软雅黑 Light" w:hAnsi="微软雅黑 Light" w:eastAsia="微软雅黑 Light" w:cs="微软雅黑 Light"/>
          <w:b/>
          <w:sz w:val="21"/>
          <w:szCs w:val="21"/>
        </w:rPr>
        <w:t>编辑组织机构属性</w:t>
      </w:r>
    </w:p>
    <w:p w14:paraId="2AAAFB46">
      <w:pPr>
        <w:pStyle w:val="34"/>
        <w:spacing w:line="360" w:lineRule="auto"/>
        <w:ind w:firstLine="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通过选中组织机构节点，在属性页面上修改组织机构的属性。</w:t>
      </w:r>
    </w:p>
    <w:p w14:paraId="0F943C5E">
      <w:pPr>
        <w:numPr>
          <w:ilvl w:val="0"/>
          <w:numId w:val="28"/>
        </w:numPr>
        <w:spacing w:line="360" w:lineRule="auto"/>
        <w:ind w:left="845"/>
        <w:rPr>
          <w:rFonts w:hint="eastAsia" w:ascii="微软雅黑 Light" w:hAnsi="微软雅黑 Light" w:eastAsia="微软雅黑 Light" w:cs="微软雅黑 Light"/>
          <w:b/>
          <w:sz w:val="21"/>
          <w:szCs w:val="21"/>
        </w:rPr>
      </w:pPr>
      <w:r>
        <w:rPr>
          <w:rFonts w:hint="eastAsia" w:ascii="微软雅黑 Light" w:hAnsi="微软雅黑 Light" w:eastAsia="微软雅黑 Light" w:cs="微软雅黑 Light"/>
          <w:b/>
          <w:sz w:val="21"/>
          <w:szCs w:val="21"/>
        </w:rPr>
        <w:t>删除组织机构</w:t>
      </w:r>
    </w:p>
    <w:p w14:paraId="05FEDB26">
      <w:pPr>
        <w:pStyle w:val="34"/>
        <w:spacing w:line="360" w:lineRule="auto"/>
        <w:ind w:firstLine="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删除组织机构并非真正删除，而是在组织机构上标注注销标记，删除的组织机构可以在回收站中恢复。</w:t>
      </w:r>
    </w:p>
    <w:p w14:paraId="1FCFD596">
      <w:pPr>
        <w:numPr>
          <w:ilvl w:val="0"/>
          <w:numId w:val="28"/>
        </w:numPr>
        <w:spacing w:line="360" w:lineRule="auto"/>
        <w:ind w:left="845"/>
        <w:rPr>
          <w:rFonts w:hint="eastAsia" w:ascii="微软雅黑 Light" w:hAnsi="微软雅黑 Light" w:eastAsia="微软雅黑 Light" w:cs="微软雅黑 Light"/>
          <w:b/>
          <w:sz w:val="21"/>
          <w:szCs w:val="21"/>
        </w:rPr>
      </w:pPr>
      <w:r>
        <w:rPr>
          <w:rFonts w:hint="eastAsia" w:ascii="微软雅黑 Light" w:hAnsi="微软雅黑 Light" w:eastAsia="微软雅黑 Light" w:cs="微软雅黑 Light"/>
          <w:b/>
          <w:sz w:val="21"/>
          <w:szCs w:val="21"/>
        </w:rPr>
        <w:t>添加组织机构</w:t>
      </w:r>
    </w:p>
    <w:p w14:paraId="19545623">
      <w:pPr>
        <w:pStyle w:val="34"/>
        <w:spacing w:line="360" w:lineRule="auto"/>
        <w:ind w:firstLine="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在一个区域内，组织机构名称必须唯一，可以在一层组织机构内添加分支机构。</w:t>
      </w:r>
    </w:p>
    <w:p w14:paraId="46C492EC">
      <w:pPr>
        <w:pStyle w:val="5"/>
        <w:spacing w:before="0" w:after="0" w:line="360" w:lineRule="auto"/>
        <w:ind w:left="0" w:firstLine="0"/>
        <w:rPr>
          <w:rFonts w:hint="eastAsia" w:ascii="微软雅黑 Light" w:hAnsi="微软雅黑 Light" w:eastAsia="微软雅黑 Light" w:cs="微软雅黑 Light"/>
          <w:sz w:val="21"/>
          <w:szCs w:val="21"/>
        </w:rPr>
      </w:pPr>
      <w:bookmarkStart w:id="124" w:name="_Toc225674493"/>
      <w:r>
        <w:rPr>
          <w:rFonts w:hint="eastAsia" w:ascii="微软雅黑 Light" w:hAnsi="微软雅黑 Light" w:eastAsia="微软雅黑 Light" w:cs="微软雅黑 Light"/>
          <w:sz w:val="21"/>
          <w:szCs w:val="21"/>
        </w:rPr>
        <w:t>4.6.1.3能耗计量单元组态</w:t>
      </w:r>
      <w:bookmarkEnd w:id="124"/>
    </w:p>
    <w:p w14:paraId="250BFE33">
      <w:pPr>
        <w:numPr>
          <w:ilvl w:val="0"/>
          <w:numId w:val="29"/>
        </w:numPr>
        <w:spacing w:line="360" w:lineRule="auto"/>
        <w:ind w:left="840"/>
        <w:rPr>
          <w:rFonts w:hint="eastAsia" w:ascii="微软雅黑 Light" w:hAnsi="微软雅黑 Light" w:eastAsia="微软雅黑 Light" w:cs="微软雅黑 Light"/>
          <w:b/>
          <w:sz w:val="21"/>
          <w:szCs w:val="21"/>
        </w:rPr>
      </w:pPr>
      <w:bookmarkStart w:id="125" w:name="_Toc97473436"/>
      <w:bookmarkStart w:id="126" w:name="_Toc103746851"/>
      <w:bookmarkStart w:id="127" w:name="_Toc100076961"/>
      <w:r>
        <w:rPr>
          <w:rFonts w:hint="eastAsia" w:ascii="微软雅黑 Light" w:hAnsi="微软雅黑 Light" w:eastAsia="微软雅黑 Light" w:cs="微软雅黑 Light"/>
          <w:b/>
          <w:sz w:val="21"/>
          <w:szCs w:val="21"/>
        </w:rPr>
        <w:t>能耗分析算法设计</w:t>
      </w:r>
    </w:p>
    <w:p w14:paraId="4706CBCA">
      <w:pPr>
        <w:pStyle w:val="34"/>
        <w:spacing w:line="360" w:lineRule="auto"/>
        <w:ind w:firstLine="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能耗分析算法设计是本系统保持开放型和可持续扩展性的关键功能。通过能耗分析算法设计功能，系统用户可以根据具体业务功能首先设计能耗分析计算算法,包括：</w:t>
      </w:r>
    </w:p>
    <w:p w14:paraId="3D79950E">
      <w:pPr>
        <w:pStyle w:val="34"/>
        <w:numPr>
          <w:ilvl w:val="0"/>
          <w:numId w:val="30"/>
        </w:numPr>
        <w:spacing w:line="360" w:lineRule="auto"/>
        <w:ind w:left="420" w:firstLine="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多级能耗模型：引用其中的属性或已经实例化的计算单元，通过该模型来访问具体的分析值和计算值；</w:t>
      </w:r>
    </w:p>
    <w:p w14:paraId="1EF6B2A2">
      <w:pPr>
        <w:pStyle w:val="34"/>
        <w:numPr>
          <w:ilvl w:val="0"/>
          <w:numId w:val="30"/>
        </w:numPr>
        <w:spacing w:line="360" w:lineRule="auto"/>
        <w:ind w:left="420" w:firstLine="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基本统计运算模块：系统提供了针对能耗统计分析的基本运算模块；</w:t>
      </w:r>
    </w:p>
    <w:p w14:paraId="6466FA33">
      <w:pPr>
        <w:pStyle w:val="34"/>
        <w:spacing w:line="360" w:lineRule="auto"/>
        <w:ind w:firstLine="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能耗分析算法设计主要包括</w:t>
      </w:r>
      <w:bookmarkStart w:id="128" w:name="BKM_A7B0D54B_6896_4c77_AC7B_7C3B78875BAE"/>
      <w:r>
        <w:rPr>
          <w:rFonts w:hint="eastAsia" w:ascii="微软雅黑 Light" w:hAnsi="微软雅黑 Light" w:eastAsia="微软雅黑 Light" w:cs="微软雅黑 Light"/>
          <w:sz w:val="21"/>
          <w:szCs w:val="21"/>
        </w:rPr>
        <w:t>添加算法、删除算法、修订算法</w:t>
      </w:r>
      <w:bookmarkEnd w:id="128"/>
      <w:bookmarkStart w:id="129" w:name="BKM_28AA9C38_A0F1_49f5_BC19_B204926943D7"/>
      <w:r>
        <w:rPr>
          <w:rFonts w:hint="eastAsia" w:ascii="微软雅黑 Light" w:hAnsi="微软雅黑 Light" w:eastAsia="微软雅黑 Light" w:cs="微软雅黑 Light"/>
          <w:sz w:val="21"/>
          <w:szCs w:val="21"/>
        </w:rPr>
        <w:t>，其中添加算法包含设定算法参数</w:t>
      </w:r>
      <w:bookmarkEnd w:id="129"/>
      <w:bookmarkStart w:id="130" w:name="BKM_D564CC72_AD1F_4225_B5B4_60A4BF2F3E39"/>
      <w:r>
        <w:rPr>
          <w:rFonts w:hint="eastAsia" w:ascii="微软雅黑 Light" w:hAnsi="微软雅黑 Light" w:eastAsia="微软雅黑 Light" w:cs="微软雅黑 Light"/>
          <w:sz w:val="21"/>
          <w:szCs w:val="21"/>
        </w:rPr>
        <w:t>、提供算法体</w:t>
      </w:r>
      <w:bookmarkEnd w:id="130"/>
      <w:bookmarkStart w:id="131" w:name="BKM_9D3265C8_905E_45e7_8360_15A4F0123FAA"/>
      <w:r>
        <w:rPr>
          <w:rFonts w:hint="eastAsia" w:ascii="微软雅黑 Light" w:hAnsi="微软雅黑 Light" w:eastAsia="微软雅黑 Light" w:cs="微软雅黑 Light"/>
          <w:sz w:val="21"/>
          <w:szCs w:val="21"/>
        </w:rPr>
        <w:t>、</w:t>
      </w:r>
      <w:bookmarkEnd w:id="131"/>
      <w:bookmarkStart w:id="132" w:name="BKM_5C2A47E6_267B_4e0f_806B_249EDF60DDD4"/>
      <w:r>
        <w:rPr>
          <w:rFonts w:hint="eastAsia" w:ascii="微软雅黑 Light" w:hAnsi="微软雅黑 Light" w:eastAsia="微软雅黑 Light" w:cs="微软雅黑 Light"/>
          <w:sz w:val="21"/>
          <w:szCs w:val="21"/>
        </w:rPr>
        <w:t>选择算法名称三个步骤。</w:t>
      </w:r>
    </w:p>
    <w:bookmarkEnd w:id="132"/>
    <w:p w14:paraId="17C6691D">
      <w:pPr>
        <w:spacing w:line="360" w:lineRule="auto"/>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drawing>
          <wp:inline distT="0" distB="0" distL="114300" distR="114300">
            <wp:extent cx="5445760" cy="2273935"/>
            <wp:effectExtent l="0" t="0" r="2540" b="12065"/>
            <wp:docPr id="20" name="图片 20" descr="算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算法"/>
                    <pic:cNvPicPr>
                      <a:picLocks noChangeAspect="1"/>
                    </pic:cNvPicPr>
                  </pic:nvPicPr>
                  <pic:blipFill>
                    <a:blip r:embed="rId33"/>
                    <a:stretch>
                      <a:fillRect/>
                    </a:stretch>
                  </pic:blipFill>
                  <pic:spPr>
                    <a:xfrm>
                      <a:off x="0" y="0"/>
                      <a:ext cx="5445760" cy="2273935"/>
                    </a:xfrm>
                    <a:prstGeom prst="rect">
                      <a:avLst/>
                    </a:prstGeom>
                    <a:noFill/>
                    <a:ln>
                      <a:noFill/>
                    </a:ln>
                  </pic:spPr>
                </pic:pic>
              </a:graphicData>
            </a:graphic>
          </wp:inline>
        </w:drawing>
      </w:r>
    </w:p>
    <w:p w14:paraId="60A50277">
      <w:pPr>
        <w:spacing w:before="120" w:beforeLines="50" w:after="120" w:afterLines="50"/>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图4-15能耗分析算法设计</w:t>
      </w:r>
    </w:p>
    <w:bookmarkEnd w:id="125"/>
    <w:bookmarkEnd w:id="126"/>
    <w:bookmarkEnd w:id="127"/>
    <w:p w14:paraId="56C6D119">
      <w:pPr>
        <w:numPr>
          <w:ilvl w:val="0"/>
          <w:numId w:val="29"/>
        </w:numPr>
        <w:spacing w:line="360" w:lineRule="auto"/>
        <w:ind w:left="840"/>
        <w:rPr>
          <w:rFonts w:hint="eastAsia" w:ascii="微软雅黑 Light" w:hAnsi="微软雅黑 Light" w:eastAsia="微软雅黑 Light" w:cs="微软雅黑 Light"/>
          <w:b/>
          <w:sz w:val="21"/>
          <w:szCs w:val="21"/>
        </w:rPr>
      </w:pPr>
      <w:r>
        <w:rPr>
          <w:rFonts w:hint="eastAsia" w:ascii="微软雅黑 Light" w:hAnsi="微软雅黑 Light" w:eastAsia="微软雅黑 Light" w:cs="微软雅黑 Light"/>
          <w:b/>
          <w:sz w:val="21"/>
          <w:szCs w:val="21"/>
        </w:rPr>
        <w:t>能耗计量单元设计</w:t>
      </w:r>
    </w:p>
    <w:p w14:paraId="2E690DB5">
      <w:pPr>
        <w:pStyle w:val="34"/>
        <w:spacing w:line="360" w:lineRule="auto"/>
        <w:ind w:firstLine="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能耗计量单元是一个有意义的能耗计量节点，通常为一个能耗计量分项或分类。能耗计量单元的组态信息包括：</w:t>
      </w:r>
    </w:p>
    <w:p w14:paraId="60B374DF">
      <w:pPr>
        <w:pStyle w:val="34"/>
        <w:numPr>
          <w:ilvl w:val="0"/>
          <w:numId w:val="31"/>
        </w:numPr>
        <w:spacing w:line="360" w:lineRule="auto"/>
        <w:ind w:left="840" w:firstLine="0" w:firstLineChars="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计量单元名称；</w:t>
      </w:r>
    </w:p>
    <w:p w14:paraId="3F5F1993">
      <w:pPr>
        <w:pStyle w:val="34"/>
        <w:numPr>
          <w:ilvl w:val="0"/>
          <w:numId w:val="31"/>
        </w:numPr>
        <w:spacing w:line="360" w:lineRule="auto"/>
        <w:ind w:left="840" w:firstLine="0" w:firstLineChars="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计量单元描述；</w:t>
      </w:r>
    </w:p>
    <w:p w14:paraId="0823B95A">
      <w:pPr>
        <w:pStyle w:val="34"/>
        <w:numPr>
          <w:ilvl w:val="0"/>
          <w:numId w:val="31"/>
        </w:numPr>
        <w:spacing w:line="360" w:lineRule="auto"/>
        <w:ind w:left="840" w:firstLine="0" w:firstLineChars="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计算值变量名；</w:t>
      </w:r>
    </w:p>
    <w:p w14:paraId="7D010EB3">
      <w:pPr>
        <w:pStyle w:val="34"/>
        <w:numPr>
          <w:ilvl w:val="0"/>
          <w:numId w:val="31"/>
        </w:numPr>
        <w:spacing w:line="360" w:lineRule="auto"/>
        <w:ind w:left="840" w:firstLine="0" w:firstLineChars="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计量单元的计量项；</w:t>
      </w:r>
    </w:p>
    <w:p w14:paraId="17F0A483">
      <w:pPr>
        <w:spacing w:line="360" w:lineRule="auto"/>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drawing>
          <wp:inline distT="0" distB="0" distL="114300" distR="114300">
            <wp:extent cx="5441315" cy="1600835"/>
            <wp:effectExtent l="0" t="0" r="6985" b="18415"/>
            <wp:docPr id="21" name="图片 21" descr="能耗计量单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能耗计量单元"/>
                    <pic:cNvPicPr>
                      <a:picLocks noChangeAspect="1"/>
                    </pic:cNvPicPr>
                  </pic:nvPicPr>
                  <pic:blipFill>
                    <a:blip r:embed="rId34"/>
                    <a:stretch>
                      <a:fillRect/>
                    </a:stretch>
                  </pic:blipFill>
                  <pic:spPr>
                    <a:xfrm>
                      <a:off x="0" y="0"/>
                      <a:ext cx="5441315" cy="1600835"/>
                    </a:xfrm>
                    <a:prstGeom prst="rect">
                      <a:avLst/>
                    </a:prstGeom>
                    <a:noFill/>
                    <a:ln>
                      <a:noFill/>
                    </a:ln>
                  </pic:spPr>
                </pic:pic>
              </a:graphicData>
            </a:graphic>
          </wp:inline>
        </w:drawing>
      </w:r>
    </w:p>
    <w:p w14:paraId="59BD55C4">
      <w:pPr>
        <w:spacing w:before="120" w:beforeLines="50" w:after="120" w:afterLines="50"/>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图4-16能耗计量单元组态</w:t>
      </w:r>
    </w:p>
    <w:p w14:paraId="42548A6A">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能耗计量单元组态包括添加、删除、编辑能耗计量单元操作，其中添加能耗计量单元就是实例化计算公示。</w:t>
      </w:r>
    </w:p>
    <w:p w14:paraId="4ECBEC97">
      <w:pPr>
        <w:numPr>
          <w:ilvl w:val="0"/>
          <w:numId w:val="29"/>
        </w:numPr>
        <w:spacing w:line="360" w:lineRule="auto"/>
        <w:ind w:left="840"/>
        <w:rPr>
          <w:rFonts w:hint="eastAsia" w:ascii="微软雅黑 Light" w:hAnsi="微软雅黑 Light" w:eastAsia="微软雅黑 Light" w:cs="微软雅黑 Light"/>
          <w:b/>
          <w:sz w:val="21"/>
          <w:szCs w:val="21"/>
        </w:rPr>
      </w:pPr>
      <w:r>
        <w:rPr>
          <w:rFonts w:hint="eastAsia" w:ascii="微软雅黑 Light" w:hAnsi="微软雅黑 Light" w:eastAsia="微软雅黑 Light" w:cs="微软雅黑 Light"/>
          <w:b/>
          <w:sz w:val="21"/>
          <w:szCs w:val="21"/>
        </w:rPr>
        <w:t>添加能耗计量单元</w:t>
      </w:r>
    </w:p>
    <w:p w14:paraId="1D7FA7D9">
      <w:pPr>
        <w:pStyle w:val="34"/>
        <w:spacing w:line="360" w:lineRule="auto"/>
        <w:ind w:firstLine="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添加能耗计量单元，即通过实例化一个计算公式完成。在一个组织机构中，一个计量单元的名称必须唯一。为简化组态，一个计量单元不一定仅包含一个计量项，而是可以包含多个。若存在多个计量项目，则在一个计量单元中的计量项名称必须唯一。</w:t>
      </w:r>
    </w:p>
    <w:p w14:paraId="587E4352">
      <w:pPr>
        <w:pStyle w:val="5"/>
        <w:spacing w:before="0" w:after="0" w:line="360" w:lineRule="auto"/>
        <w:ind w:left="0" w:firstLine="0"/>
        <w:rPr>
          <w:rFonts w:hint="eastAsia" w:ascii="微软雅黑 Light" w:hAnsi="微软雅黑 Light" w:eastAsia="微软雅黑 Light" w:cs="微软雅黑 Light"/>
          <w:sz w:val="21"/>
          <w:szCs w:val="21"/>
        </w:rPr>
      </w:pPr>
      <w:bookmarkStart w:id="133" w:name="_Toc225674494"/>
      <w:r>
        <w:rPr>
          <w:rFonts w:hint="eastAsia" w:ascii="微软雅黑 Light" w:hAnsi="微软雅黑 Light" w:eastAsia="微软雅黑 Light" w:cs="微软雅黑 Light"/>
          <w:sz w:val="21"/>
          <w:szCs w:val="21"/>
        </w:rPr>
        <w:t>4.6.1.4能耗计量表计组态</w:t>
      </w:r>
      <w:bookmarkEnd w:id="133"/>
    </w:p>
    <w:p w14:paraId="78E783CB">
      <w:pPr>
        <w:pStyle w:val="34"/>
        <w:spacing w:line="360" w:lineRule="auto"/>
        <w:ind w:firstLine="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能耗表计是物理能耗表计在实时数据源中对应的变量，其主要参数包括:</w:t>
      </w:r>
    </w:p>
    <w:p w14:paraId="54F361E9">
      <w:pPr>
        <w:pStyle w:val="34"/>
        <w:numPr>
          <w:ilvl w:val="0"/>
          <w:numId w:val="32"/>
        </w:numPr>
        <w:spacing w:line="360" w:lineRule="auto"/>
        <w:ind w:firstLine="845" w:firstLineChars="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位号名、位号描述；</w:t>
      </w:r>
    </w:p>
    <w:p w14:paraId="4B291E6D">
      <w:pPr>
        <w:pStyle w:val="34"/>
        <w:numPr>
          <w:ilvl w:val="0"/>
          <w:numId w:val="32"/>
        </w:numPr>
        <w:spacing w:line="360" w:lineRule="auto"/>
        <w:ind w:firstLine="845" w:firstLineChars="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表计的工程量单位；</w:t>
      </w:r>
    </w:p>
    <w:p w14:paraId="2DEDFBCE">
      <w:pPr>
        <w:pStyle w:val="34"/>
        <w:numPr>
          <w:ilvl w:val="0"/>
          <w:numId w:val="32"/>
        </w:numPr>
        <w:spacing w:line="360" w:lineRule="auto"/>
        <w:ind w:firstLine="845" w:firstLineChars="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表计相关的参数信息，主要有表计的编号、类型、型号、厂家等；</w:t>
      </w:r>
    </w:p>
    <w:p w14:paraId="41336BF8">
      <w:pPr>
        <w:pStyle w:val="34"/>
        <w:spacing w:line="360" w:lineRule="auto"/>
        <w:ind w:firstLine="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能量计量表计组态包括添加能耗计量表计/修改能耗计量表计属性、删除能耗计量表计操作。</w:t>
      </w:r>
    </w:p>
    <w:p w14:paraId="20700B7C">
      <w:pPr>
        <w:pStyle w:val="34"/>
        <w:spacing w:line="360" w:lineRule="auto"/>
        <w:ind w:firstLine="0" w:firstLineChars="0"/>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drawing>
          <wp:inline distT="0" distB="0" distL="114300" distR="114300">
            <wp:extent cx="5326380" cy="2630805"/>
            <wp:effectExtent l="0" t="0" r="7620" b="17145"/>
            <wp:docPr id="22" name="图片 22" descr="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6"/>
                    <pic:cNvPicPr>
                      <a:picLocks noChangeAspect="1"/>
                    </pic:cNvPicPr>
                  </pic:nvPicPr>
                  <pic:blipFill>
                    <a:blip r:embed="rId35"/>
                    <a:stretch>
                      <a:fillRect/>
                    </a:stretch>
                  </pic:blipFill>
                  <pic:spPr>
                    <a:xfrm>
                      <a:off x="0" y="0"/>
                      <a:ext cx="5326380" cy="2630805"/>
                    </a:xfrm>
                    <a:prstGeom prst="rect">
                      <a:avLst/>
                    </a:prstGeom>
                    <a:noFill/>
                    <a:ln>
                      <a:noFill/>
                    </a:ln>
                  </pic:spPr>
                </pic:pic>
              </a:graphicData>
            </a:graphic>
          </wp:inline>
        </w:drawing>
      </w:r>
    </w:p>
    <w:p w14:paraId="7D853F34">
      <w:pPr>
        <w:spacing w:line="360" w:lineRule="auto"/>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drawing>
          <wp:inline distT="0" distB="0" distL="114300" distR="114300">
            <wp:extent cx="4278630" cy="2553970"/>
            <wp:effectExtent l="0" t="0" r="7620" b="17780"/>
            <wp:docPr id="23" name="图片 23" descr="未命名-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未命名-1"/>
                    <pic:cNvPicPr>
                      <a:picLocks noChangeAspect="1"/>
                    </pic:cNvPicPr>
                  </pic:nvPicPr>
                  <pic:blipFill>
                    <a:blip r:embed="rId36"/>
                    <a:stretch>
                      <a:fillRect/>
                    </a:stretch>
                  </pic:blipFill>
                  <pic:spPr>
                    <a:xfrm>
                      <a:off x="0" y="0"/>
                      <a:ext cx="4278630" cy="2553970"/>
                    </a:xfrm>
                    <a:prstGeom prst="rect">
                      <a:avLst/>
                    </a:prstGeom>
                    <a:noFill/>
                    <a:ln>
                      <a:noFill/>
                    </a:ln>
                  </pic:spPr>
                </pic:pic>
              </a:graphicData>
            </a:graphic>
          </wp:inline>
        </w:drawing>
      </w:r>
    </w:p>
    <w:p w14:paraId="38AD8F90">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图4-17能耗计量表计组态</w:t>
      </w:r>
    </w:p>
    <w:p w14:paraId="551AE601">
      <w:pPr>
        <w:pStyle w:val="4"/>
        <w:bidi w:val="0"/>
        <w:rPr>
          <w:rFonts w:hint="eastAsia"/>
        </w:rPr>
      </w:pPr>
      <w:bookmarkStart w:id="134" w:name="_Toc24005"/>
      <w:bookmarkStart w:id="135" w:name="_Toc20844"/>
      <w:bookmarkStart w:id="136" w:name="_Toc16367"/>
      <w:r>
        <w:rPr>
          <w:rFonts w:hint="eastAsia"/>
        </w:rPr>
        <w:t>4.6.2多级权限访问控制</w:t>
      </w:r>
      <w:bookmarkEnd w:id="134"/>
      <w:bookmarkEnd w:id="135"/>
      <w:bookmarkEnd w:id="136"/>
    </w:p>
    <w:p w14:paraId="1C605C1F">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cs="微软雅黑 Light"/>
          <w:sz w:val="21"/>
          <w:szCs w:val="21"/>
          <w:lang w:eastAsia="zh-CN"/>
        </w:rPr>
        <w:t>建筑能耗管理</w:t>
      </w:r>
      <w:r>
        <w:rPr>
          <w:rFonts w:hint="eastAsia" w:ascii="微软雅黑 Light" w:hAnsi="微软雅黑 Light" w:eastAsia="微软雅黑 Light" w:cs="微软雅黑 Light"/>
          <w:sz w:val="21"/>
          <w:szCs w:val="21"/>
        </w:rPr>
        <w:t>系统，采用区域权限管理方案。该方案在不增加复杂度的情况下，在系统中可构建不同的权限区域，并可将用户的权限限制到每个能耗表计的数据信息。主要功能有：</w:t>
      </w:r>
    </w:p>
    <w:p w14:paraId="1F401FF4">
      <w:pPr>
        <w:numPr>
          <w:ilvl w:val="0"/>
          <w:numId w:val="33"/>
        </w:numPr>
        <w:tabs>
          <w:tab w:val="left" w:pos="420"/>
          <w:tab w:val="left" w:pos="720"/>
        </w:tabs>
        <w:spacing w:line="360" w:lineRule="auto"/>
        <w:ind w:left="420" w:firstLine="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可以根据建筑、单位、用能类别、用能项等，建立多级管理权限区域；</w:t>
      </w:r>
    </w:p>
    <w:p w14:paraId="11720961">
      <w:pPr>
        <w:numPr>
          <w:ilvl w:val="0"/>
          <w:numId w:val="33"/>
        </w:numPr>
        <w:tabs>
          <w:tab w:val="left" w:pos="420"/>
          <w:tab w:val="left" w:pos="720"/>
        </w:tabs>
        <w:spacing w:line="360" w:lineRule="auto"/>
        <w:ind w:left="420" w:firstLine="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在每个权限区域下，可以添加各种受限对象，包括数据信息、报表等；</w:t>
      </w:r>
    </w:p>
    <w:p w14:paraId="13C0C782">
      <w:pPr>
        <w:numPr>
          <w:ilvl w:val="0"/>
          <w:numId w:val="33"/>
        </w:numPr>
        <w:tabs>
          <w:tab w:val="left" w:pos="420"/>
          <w:tab w:val="left" w:pos="720"/>
        </w:tabs>
        <w:spacing w:line="360" w:lineRule="auto"/>
        <w:ind w:left="420" w:firstLine="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可以在区域上建立用户组，并为用户组分配权限；</w:t>
      </w:r>
    </w:p>
    <w:p w14:paraId="57FDE971">
      <w:pPr>
        <w:numPr>
          <w:ilvl w:val="0"/>
          <w:numId w:val="33"/>
        </w:numPr>
        <w:tabs>
          <w:tab w:val="left" w:pos="420"/>
          <w:tab w:val="left" w:pos="720"/>
        </w:tabs>
        <w:spacing w:line="360" w:lineRule="auto"/>
        <w:ind w:left="420" w:firstLine="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用户可以在多个区域上隶属于多个用户组，从而在不同的区域上拥有不同的权限；</w:t>
      </w:r>
    </w:p>
    <w:p w14:paraId="1E29E60C">
      <w:pPr>
        <w:spacing w:line="360" w:lineRule="auto"/>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drawing>
          <wp:inline distT="0" distB="0" distL="114300" distR="114300">
            <wp:extent cx="5370195" cy="2114550"/>
            <wp:effectExtent l="0" t="0" r="1905" b="0"/>
            <wp:docPr id="24" name="图片 24" descr="未命名-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未命名-1"/>
                    <pic:cNvPicPr>
                      <a:picLocks noChangeAspect="1"/>
                    </pic:cNvPicPr>
                  </pic:nvPicPr>
                  <pic:blipFill>
                    <a:blip r:embed="rId37"/>
                    <a:stretch>
                      <a:fillRect/>
                    </a:stretch>
                  </pic:blipFill>
                  <pic:spPr>
                    <a:xfrm>
                      <a:off x="0" y="0"/>
                      <a:ext cx="5370195" cy="2114550"/>
                    </a:xfrm>
                    <a:prstGeom prst="rect">
                      <a:avLst/>
                    </a:prstGeom>
                    <a:noFill/>
                    <a:ln>
                      <a:noFill/>
                    </a:ln>
                  </pic:spPr>
                </pic:pic>
              </a:graphicData>
            </a:graphic>
          </wp:inline>
        </w:drawing>
      </w:r>
    </w:p>
    <w:p w14:paraId="10EE8264">
      <w:pPr>
        <w:spacing w:line="360" w:lineRule="auto"/>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drawing>
          <wp:inline distT="0" distB="0" distL="114300" distR="114300">
            <wp:extent cx="4624070" cy="2757170"/>
            <wp:effectExtent l="0" t="0" r="5080" b="5080"/>
            <wp:docPr id="25" name="图片 25" descr="未命名-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未命名-1"/>
                    <pic:cNvPicPr>
                      <a:picLocks noChangeAspect="1"/>
                    </pic:cNvPicPr>
                  </pic:nvPicPr>
                  <pic:blipFill>
                    <a:blip r:embed="rId38"/>
                    <a:stretch>
                      <a:fillRect/>
                    </a:stretch>
                  </pic:blipFill>
                  <pic:spPr>
                    <a:xfrm>
                      <a:off x="0" y="0"/>
                      <a:ext cx="4624070" cy="2757170"/>
                    </a:xfrm>
                    <a:prstGeom prst="rect">
                      <a:avLst/>
                    </a:prstGeom>
                    <a:noFill/>
                    <a:ln>
                      <a:noFill/>
                    </a:ln>
                  </pic:spPr>
                </pic:pic>
              </a:graphicData>
            </a:graphic>
          </wp:inline>
        </w:drawing>
      </w:r>
    </w:p>
    <w:p w14:paraId="5F50015E">
      <w:pPr>
        <w:spacing w:line="360" w:lineRule="auto"/>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drawing>
          <wp:inline distT="0" distB="0" distL="114300" distR="114300">
            <wp:extent cx="5443220" cy="2353945"/>
            <wp:effectExtent l="0" t="0" r="5080" b="8255"/>
            <wp:docPr id="26" name="图片 26" descr="未命名-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未命名-51"/>
                    <pic:cNvPicPr>
                      <a:picLocks noChangeAspect="1"/>
                    </pic:cNvPicPr>
                  </pic:nvPicPr>
                  <pic:blipFill>
                    <a:blip r:embed="rId39"/>
                    <a:stretch>
                      <a:fillRect/>
                    </a:stretch>
                  </pic:blipFill>
                  <pic:spPr>
                    <a:xfrm>
                      <a:off x="0" y="0"/>
                      <a:ext cx="5443220" cy="2353945"/>
                    </a:xfrm>
                    <a:prstGeom prst="rect">
                      <a:avLst/>
                    </a:prstGeom>
                    <a:noFill/>
                    <a:ln>
                      <a:noFill/>
                    </a:ln>
                  </pic:spPr>
                </pic:pic>
              </a:graphicData>
            </a:graphic>
          </wp:inline>
        </w:drawing>
      </w:r>
    </w:p>
    <w:p w14:paraId="37B2DA98">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图4-18权限管理</w:t>
      </w:r>
    </w:p>
    <w:p w14:paraId="1DC1F123">
      <w:pPr>
        <w:pStyle w:val="4"/>
        <w:bidi w:val="0"/>
        <w:rPr>
          <w:rFonts w:hint="eastAsia"/>
        </w:rPr>
      </w:pPr>
      <w:bookmarkStart w:id="137" w:name="_Toc225674502"/>
      <w:bookmarkStart w:id="138" w:name="_Toc295754829"/>
      <w:bookmarkStart w:id="139" w:name="_Toc295735612"/>
      <w:bookmarkStart w:id="140" w:name="_Toc2138"/>
      <w:bookmarkStart w:id="141" w:name="_Toc7670"/>
      <w:r>
        <w:rPr>
          <w:rFonts w:hint="eastAsia"/>
        </w:rPr>
        <w:t>4.6.3 系统日志</w:t>
      </w:r>
      <w:bookmarkEnd w:id="137"/>
      <w:bookmarkEnd w:id="138"/>
      <w:bookmarkEnd w:id="139"/>
      <w:bookmarkEnd w:id="140"/>
      <w:bookmarkEnd w:id="141"/>
    </w:p>
    <w:p w14:paraId="45615D18">
      <w:pPr>
        <w:tabs>
          <w:tab w:val="left" w:pos="720"/>
        </w:tabs>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在一个完整的信息系统里面，日志系统是一个非常重要的功能组成部分。它可以记录下系统所产生的所有行为，并按照某种规范表达出来。用户可以使用日志系统所记录的信息，为系统进行排错，优化系统的性能，或者根据这些信息调整系统的行为。系统日志包括系统维护日志和系统操作日志。</w:t>
      </w:r>
    </w:p>
    <w:p w14:paraId="642733B2">
      <w:pPr>
        <w:numPr>
          <w:ilvl w:val="0"/>
          <w:numId w:val="34"/>
        </w:numPr>
        <w:tabs>
          <w:tab w:val="left" w:pos="420"/>
          <w:tab w:val="left" w:pos="720"/>
        </w:tabs>
        <w:spacing w:line="360" w:lineRule="auto"/>
        <w:ind w:left="420" w:firstLine="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系统维护日志</w:t>
      </w:r>
    </w:p>
    <w:p w14:paraId="63764A6D">
      <w:pPr>
        <w:tabs>
          <w:tab w:val="left" w:pos="720"/>
        </w:tabs>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记录系统用户权限分配记录、系统异常记录、在线用户列表、系统资源占用情况等。</w:t>
      </w:r>
    </w:p>
    <w:p w14:paraId="2F7B1DD5">
      <w:pPr>
        <w:numPr>
          <w:ilvl w:val="0"/>
          <w:numId w:val="34"/>
        </w:numPr>
        <w:tabs>
          <w:tab w:val="left" w:pos="420"/>
          <w:tab w:val="left" w:pos="720"/>
        </w:tabs>
        <w:spacing w:line="360" w:lineRule="auto"/>
        <w:ind w:left="420" w:firstLine="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系统操作日志</w:t>
      </w:r>
    </w:p>
    <w:p w14:paraId="576A68F2">
      <w:pPr>
        <w:tabs>
          <w:tab w:val="left" w:pos="720"/>
        </w:tabs>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记录系统用户的登录时间、登录地址（IP）、用户操作事件痕迹、设备的动作事件等。</w:t>
      </w:r>
    </w:p>
    <w:p w14:paraId="642E027A">
      <w:pPr>
        <w:spacing w:line="360" w:lineRule="auto"/>
        <w:jc w:val="center"/>
        <w:rPr>
          <w:rFonts w:hint="eastAsia" w:ascii="微软雅黑 Light" w:hAnsi="微软雅黑 Light" w:eastAsia="微软雅黑 Light" w:cs="微软雅黑 Light"/>
          <w:sz w:val="21"/>
          <w:szCs w:val="21"/>
          <w:highlight w:val="yellow"/>
        </w:rPr>
      </w:pPr>
      <w:r>
        <w:rPr>
          <w:rFonts w:hint="eastAsia" w:ascii="微软雅黑 Light" w:hAnsi="微软雅黑 Light" w:eastAsia="微软雅黑 Light" w:cs="微软雅黑 Light"/>
          <w:sz w:val="21"/>
          <w:szCs w:val="21"/>
          <w:highlight w:val="yellow"/>
        </w:rPr>
        <w:drawing>
          <wp:inline distT="0" distB="0" distL="114300" distR="114300">
            <wp:extent cx="5442585" cy="2192655"/>
            <wp:effectExtent l="0" t="0" r="5715" b="17145"/>
            <wp:docPr id="27" name="图片 27" descr="单站操作查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单站操作查询"/>
                    <pic:cNvPicPr>
                      <a:picLocks noChangeAspect="1"/>
                    </pic:cNvPicPr>
                  </pic:nvPicPr>
                  <pic:blipFill>
                    <a:blip r:embed="rId40"/>
                    <a:stretch>
                      <a:fillRect/>
                    </a:stretch>
                  </pic:blipFill>
                  <pic:spPr>
                    <a:xfrm>
                      <a:off x="0" y="0"/>
                      <a:ext cx="5442585" cy="2192655"/>
                    </a:xfrm>
                    <a:prstGeom prst="rect">
                      <a:avLst/>
                    </a:prstGeom>
                    <a:noFill/>
                    <a:ln>
                      <a:noFill/>
                    </a:ln>
                  </pic:spPr>
                </pic:pic>
              </a:graphicData>
            </a:graphic>
          </wp:inline>
        </w:drawing>
      </w:r>
    </w:p>
    <w:p w14:paraId="308122A2">
      <w:pPr>
        <w:spacing w:line="360" w:lineRule="auto"/>
        <w:jc w:val="center"/>
        <w:rPr>
          <w:rFonts w:hint="eastAsia" w:ascii="微软雅黑 Light" w:hAnsi="微软雅黑 Light" w:eastAsia="微软雅黑 Light" w:cs="微软雅黑 Light"/>
          <w:sz w:val="21"/>
          <w:szCs w:val="21"/>
          <w:highlight w:val="yellow"/>
        </w:rPr>
      </w:pPr>
      <w:r>
        <w:rPr>
          <w:rFonts w:hint="eastAsia" w:ascii="微软雅黑 Light" w:hAnsi="微软雅黑 Light" w:eastAsia="微软雅黑 Light" w:cs="微软雅黑 Light"/>
          <w:sz w:val="21"/>
          <w:szCs w:val="21"/>
          <w:highlight w:val="yellow"/>
        </w:rPr>
        <w:drawing>
          <wp:inline distT="0" distB="0" distL="114300" distR="114300">
            <wp:extent cx="5444490" cy="2747010"/>
            <wp:effectExtent l="0" t="0" r="3810" b="15240"/>
            <wp:docPr id="28" name="图片 28" descr="巡检记录查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巡检记录查询"/>
                    <pic:cNvPicPr>
                      <a:picLocks noChangeAspect="1"/>
                    </pic:cNvPicPr>
                  </pic:nvPicPr>
                  <pic:blipFill>
                    <a:blip r:embed="rId41"/>
                    <a:stretch>
                      <a:fillRect/>
                    </a:stretch>
                  </pic:blipFill>
                  <pic:spPr>
                    <a:xfrm>
                      <a:off x="0" y="0"/>
                      <a:ext cx="5444490" cy="2747010"/>
                    </a:xfrm>
                    <a:prstGeom prst="rect">
                      <a:avLst/>
                    </a:prstGeom>
                    <a:noFill/>
                    <a:ln>
                      <a:noFill/>
                    </a:ln>
                  </pic:spPr>
                </pic:pic>
              </a:graphicData>
            </a:graphic>
          </wp:inline>
        </w:drawing>
      </w:r>
    </w:p>
    <w:p w14:paraId="7F2D0A10">
      <w:pPr>
        <w:spacing w:before="120" w:beforeLines="50" w:after="120" w:afterLines="50"/>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图4-19系统日志示例</w:t>
      </w:r>
    </w:p>
    <w:p w14:paraId="59B88878">
      <w:pPr>
        <w:pStyle w:val="3"/>
        <w:numPr>
          <w:ilvl w:val="0"/>
          <w:numId w:val="0"/>
        </w:numPr>
        <w:bidi w:val="0"/>
        <w:rPr>
          <w:rFonts w:hint="eastAsia"/>
        </w:rPr>
      </w:pPr>
      <w:bookmarkStart w:id="142" w:name="_Toc23391"/>
      <w:r>
        <w:rPr>
          <w:rFonts w:hint="eastAsia"/>
          <w:lang w:val="en-US" w:eastAsia="zh-CN"/>
        </w:rPr>
        <w:t>4.7</w:t>
      </w:r>
      <w:r>
        <w:rPr>
          <w:rFonts w:hint="eastAsia"/>
        </w:rPr>
        <w:t>能耗应用展示</w:t>
      </w:r>
      <w:bookmarkEnd w:id="142"/>
    </w:p>
    <w:p w14:paraId="16E461C0">
      <w:pPr>
        <w:tabs>
          <w:tab w:val="left" w:pos="720"/>
        </w:tabs>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cs="微软雅黑 Light"/>
          <w:sz w:val="21"/>
          <w:szCs w:val="21"/>
          <w:lang w:eastAsia="zh-CN"/>
        </w:rPr>
        <w:t>建筑能耗管理</w:t>
      </w:r>
      <w:r>
        <w:rPr>
          <w:rFonts w:hint="eastAsia" w:ascii="微软雅黑 Light" w:hAnsi="微软雅黑 Light" w:eastAsia="微软雅黑 Light" w:cs="微软雅黑 Light"/>
          <w:sz w:val="21"/>
          <w:szCs w:val="21"/>
        </w:rPr>
        <w:t>系统即能源管理软件的展示平台，通过该平台，可实现能源介质的结算统计，并提供有效的数据呈现方式。</w:t>
      </w:r>
    </w:p>
    <w:p w14:paraId="7CDAA97B">
      <w:pPr>
        <w:spacing w:before="120" w:beforeLines="50" w:after="120" w:afterLines="50"/>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drawing>
          <wp:inline distT="0" distB="0" distL="114300" distR="114300">
            <wp:extent cx="5267325" cy="3310890"/>
            <wp:effectExtent l="0" t="0" r="9525" b="3810"/>
            <wp:docPr id="29" name="图片 29" descr="未命名-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未命名-3"/>
                    <pic:cNvPicPr>
                      <a:picLocks noChangeAspect="1"/>
                    </pic:cNvPicPr>
                  </pic:nvPicPr>
                  <pic:blipFill>
                    <a:blip r:embed="rId42"/>
                    <a:stretch>
                      <a:fillRect/>
                    </a:stretch>
                  </pic:blipFill>
                  <pic:spPr>
                    <a:xfrm>
                      <a:off x="0" y="0"/>
                      <a:ext cx="5267325" cy="3310890"/>
                    </a:xfrm>
                    <a:prstGeom prst="rect">
                      <a:avLst/>
                    </a:prstGeom>
                    <a:noFill/>
                    <a:ln>
                      <a:noFill/>
                    </a:ln>
                  </pic:spPr>
                </pic:pic>
              </a:graphicData>
            </a:graphic>
          </wp:inline>
        </w:drawing>
      </w:r>
    </w:p>
    <w:p w14:paraId="280B4292">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图4-20 Web访问示意</w:t>
      </w:r>
    </w:p>
    <w:p w14:paraId="65638566">
      <w:pPr>
        <w:jc w:val="both"/>
        <w:rPr>
          <w:rFonts w:hint="eastAsia" w:ascii="微软雅黑 Light" w:hAnsi="微软雅黑 Light" w:eastAsia="微软雅黑 Light" w:cs="微软雅黑 Light"/>
          <w:sz w:val="21"/>
          <w:szCs w:val="21"/>
          <w:lang w:eastAsia="zh-CN"/>
        </w:rPr>
      </w:pPr>
      <w:r>
        <w:rPr>
          <w:rFonts w:hint="eastAsia" w:ascii="微软雅黑 Light" w:hAnsi="微软雅黑 Light" w:eastAsia="微软雅黑 Light" w:cs="微软雅黑 Light"/>
          <w:sz w:val="21"/>
          <w:szCs w:val="21"/>
          <w:lang w:eastAsia="zh-CN"/>
        </w:rPr>
        <w:drawing>
          <wp:inline distT="0" distB="0" distL="114300" distR="114300">
            <wp:extent cx="5797550" cy="3260725"/>
            <wp:effectExtent l="0" t="0" r="12700" b="15875"/>
            <wp:docPr id="30" name="图片 68" descr="动环3D图-压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68" descr="动环3D图-压缩"/>
                    <pic:cNvPicPr>
                      <a:picLocks noChangeAspect="1"/>
                    </pic:cNvPicPr>
                  </pic:nvPicPr>
                  <pic:blipFill>
                    <a:blip r:embed="rId43"/>
                    <a:stretch>
                      <a:fillRect/>
                    </a:stretch>
                  </pic:blipFill>
                  <pic:spPr>
                    <a:xfrm>
                      <a:off x="0" y="0"/>
                      <a:ext cx="5797550" cy="3260725"/>
                    </a:xfrm>
                    <a:prstGeom prst="rect">
                      <a:avLst/>
                    </a:prstGeom>
                    <a:noFill/>
                    <a:ln>
                      <a:noFill/>
                    </a:ln>
                  </pic:spPr>
                </pic:pic>
              </a:graphicData>
            </a:graphic>
          </wp:inline>
        </w:drawing>
      </w:r>
    </w:p>
    <w:p w14:paraId="5A743B08">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图4-21系统主体框架结构</w:t>
      </w:r>
    </w:p>
    <w:p w14:paraId="361DD5D6">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drawing>
          <wp:inline distT="0" distB="0" distL="114300" distR="114300">
            <wp:extent cx="5270500" cy="2483485"/>
            <wp:effectExtent l="0" t="0" r="6350" b="12065"/>
            <wp:docPr id="31" name="图片 31"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图片2"/>
                    <pic:cNvPicPr>
                      <a:picLocks noChangeAspect="1"/>
                    </pic:cNvPicPr>
                  </pic:nvPicPr>
                  <pic:blipFill>
                    <a:blip r:embed="rId44"/>
                    <a:stretch>
                      <a:fillRect/>
                    </a:stretch>
                  </pic:blipFill>
                  <pic:spPr>
                    <a:xfrm>
                      <a:off x="0" y="0"/>
                      <a:ext cx="5270500" cy="2483485"/>
                    </a:xfrm>
                    <a:prstGeom prst="rect">
                      <a:avLst/>
                    </a:prstGeom>
                    <a:noFill/>
                    <a:ln>
                      <a:noFill/>
                    </a:ln>
                  </pic:spPr>
                </pic:pic>
              </a:graphicData>
            </a:graphic>
          </wp:inline>
        </w:drawing>
      </w:r>
    </w:p>
    <w:p w14:paraId="543A5BDA">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图4-22系统多维度对比显示主界面</w:t>
      </w:r>
    </w:p>
    <w:p w14:paraId="308630EB">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drawing>
          <wp:inline distT="0" distB="0" distL="114300" distR="114300">
            <wp:extent cx="5441950" cy="2933700"/>
            <wp:effectExtent l="0" t="0" r="6350" b="0"/>
            <wp:docPr id="32" name="图片 32" descr="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图片6"/>
                    <pic:cNvPicPr>
                      <a:picLocks noChangeAspect="1"/>
                    </pic:cNvPicPr>
                  </pic:nvPicPr>
                  <pic:blipFill>
                    <a:blip r:embed="rId45"/>
                    <a:stretch>
                      <a:fillRect/>
                    </a:stretch>
                  </pic:blipFill>
                  <pic:spPr>
                    <a:xfrm>
                      <a:off x="0" y="0"/>
                      <a:ext cx="5441950" cy="2933700"/>
                    </a:xfrm>
                    <a:prstGeom prst="rect">
                      <a:avLst/>
                    </a:prstGeom>
                    <a:noFill/>
                    <a:ln>
                      <a:noFill/>
                    </a:ln>
                  </pic:spPr>
                </pic:pic>
              </a:graphicData>
            </a:graphic>
          </wp:inline>
        </w:drawing>
      </w:r>
    </w:p>
    <w:p w14:paraId="730E7495">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图4-23系统主页面</w:t>
      </w:r>
    </w:p>
    <w:p w14:paraId="68F78437">
      <w:pPr>
        <w:numPr>
          <w:ilvl w:val="0"/>
          <w:numId w:val="35"/>
        </w:numPr>
        <w:spacing w:line="360" w:lineRule="auto"/>
        <w:ind w:left="845"/>
        <w:jc w:val="left"/>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数据综合查询模块</w:t>
      </w:r>
    </w:p>
    <w:p w14:paraId="770D3A62">
      <w:pPr>
        <w:pStyle w:val="11"/>
        <w:adjustRightInd w:val="0"/>
        <w:snapToGrid w:val="0"/>
        <w:spacing w:line="360" w:lineRule="auto"/>
        <w:ind w:left="454" w:firstLine="0" w:firstLineChars="0"/>
        <w:jc w:val="left"/>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sz w:val="21"/>
          <w:szCs w:val="21"/>
        </w:rPr>
        <w:t>系统的能耗数据的综合查询、分析，主要围绕以下几个功能来实现的：</w:t>
      </w:r>
    </w:p>
    <w:p w14:paraId="7FF59DB2">
      <w:pPr>
        <w:pStyle w:val="34"/>
        <w:numPr>
          <w:ilvl w:val="0"/>
          <w:numId w:val="36"/>
        </w:numPr>
        <w:spacing w:line="360" w:lineRule="auto"/>
        <w:ind w:firstLine="845" w:firstLineChars="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计量数据日报表：可根据选择的介质、日期查询日报表；</w:t>
      </w:r>
    </w:p>
    <w:p w14:paraId="251A387D">
      <w:pPr>
        <w:pStyle w:val="34"/>
        <w:numPr>
          <w:ilvl w:val="0"/>
          <w:numId w:val="36"/>
        </w:numPr>
        <w:spacing w:line="360" w:lineRule="auto"/>
        <w:ind w:firstLine="845" w:firstLineChars="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计量数据月报表：可根据选择的介质、月份，显示月份结算数据和月报表；</w:t>
      </w:r>
    </w:p>
    <w:p w14:paraId="6C528A7D">
      <w:pPr>
        <w:pStyle w:val="34"/>
        <w:numPr>
          <w:ilvl w:val="0"/>
          <w:numId w:val="36"/>
        </w:numPr>
        <w:spacing w:line="360" w:lineRule="auto"/>
        <w:ind w:firstLine="845" w:firstLineChars="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各耗能单位能耗数据小时、日、月、年等时间段内的统计、计算；</w:t>
      </w:r>
    </w:p>
    <w:p w14:paraId="5B8696CC">
      <w:pPr>
        <w:pStyle w:val="34"/>
        <w:numPr>
          <w:ilvl w:val="0"/>
          <w:numId w:val="36"/>
        </w:numPr>
        <w:spacing w:line="360" w:lineRule="auto"/>
        <w:ind w:firstLine="845" w:firstLineChars="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对任意时间的数据，按测量点进行查询；</w:t>
      </w:r>
    </w:p>
    <w:p w14:paraId="1FC516BE">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drawing>
          <wp:inline distT="0" distB="0" distL="114300" distR="114300">
            <wp:extent cx="5456555" cy="2493645"/>
            <wp:effectExtent l="0" t="0" r="10795" b="1905"/>
            <wp:docPr id="33" name="图片 33" descr="单位耗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单位耗能"/>
                    <pic:cNvPicPr>
                      <a:picLocks noChangeAspect="1"/>
                    </pic:cNvPicPr>
                  </pic:nvPicPr>
                  <pic:blipFill>
                    <a:blip r:embed="rId46"/>
                    <a:stretch>
                      <a:fillRect/>
                    </a:stretch>
                  </pic:blipFill>
                  <pic:spPr>
                    <a:xfrm>
                      <a:off x="0" y="0"/>
                      <a:ext cx="5456555" cy="2493645"/>
                    </a:xfrm>
                    <a:prstGeom prst="rect">
                      <a:avLst/>
                    </a:prstGeom>
                    <a:noFill/>
                    <a:ln>
                      <a:noFill/>
                    </a:ln>
                  </pic:spPr>
                </pic:pic>
              </a:graphicData>
            </a:graphic>
          </wp:inline>
        </w:drawing>
      </w:r>
    </w:p>
    <w:p w14:paraId="3CBF41A2">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图4-24能耗指标示意图</w:t>
      </w:r>
    </w:p>
    <w:p w14:paraId="4589FA93">
      <w:pPr>
        <w:numPr>
          <w:ilvl w:val="0"/>
          <w:numId w:val="35"/>
        </w:numPr>
        <w:spacing w:line="360" w:lineRule="auto"/>
        <w:ind w:left="845"/>
        <w:jc w:val="left"/>
        <w:rPr>
          <w:rFonts w:hint="eastAsia" w:ascii="微软雅黑 Light" w:hAnsi="微软雅黑 Light" w:eastAsia="微软雅黑 Light" w:cs="微软雅黑 Light"/>
          <w:b/>
          <w:bCs/>
          <w:sz w:val="21"/>
          <w:szCs w:val="21"/>
        </w:rPr>
      </w:pPr>
      <w:bookmarkStart w:id="143" w:name="_Toc19900"/>
      <w:r>
        <w:rPr>
          <w:rFonts w:hint="eastAsia" w:ascii="微软雅黑 Light" w:hAnsi="微软雅黑 Light" w:eastAsia="微软雅黑 Light" w:cs="微软雅黑 Light"/>
          <w:b/>
          <w:bCs/>
          <w:sz w:val="21"/>
          <w:szCs w:val="21"/>
        </w:rPr>
        <w:t>能耗监测</w:t>
      </w:r>
      <w:bookmarkEnd w:id="143"/>
      <w:r>
        <w:rPr>
          <w:rFonts w:hint="eastAsia" w:ascii="微软雅黑 Light" w:hAnsi="微软雅黑 Light" w:eastAsia="微软雅黑 Light" w:cs="微软雅黑 Light"/>
          <w:b/>
          <w:bCs/>
          <w:sz w:val="21"/>
          <w:szCs w:val="21"/>
        </w:rPr>
        <w:t>模块</w:t>
      </w:r>
    </w:p>
    <w:p w14:paraId="2D7ED6CD">
      <w:pPr>
        <w:spacing w:line="360" w:lineRule="auto"/>
        <w:ind w:firstLine="420"/>
        <w:jc w:val="left"/>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对水、电、汽使用情况进行动态监控，显示方式包括：</w:t>
      </w:r>
    </w:p>
    <w:p w14:paraId="537C732C">
      <w:pPr>
        <w:pStyle w:val="34"/>
        <w:numPr>
          <w:ilvl w:val="0"/>
          <w:numId w:val="37"/>
        </w:numPr>
        <w:spacing w:line="360" w:lineRule="auto"/>
        <w:ind w:firstLine="845" w:firstLineChars="0"/>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用电监测</w:t>
      </w:r>
    </w:p>
    <w:p w14:paraId="4E22E9D4">
      <w:pPr>
        <w:spacing w:line="360" w:lineRule="auto"/>
        <w:ind w:firstLine="420"/>
        <w:jc w:val="left"/>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查询权限范围内任一电量表的实时电量，显示该电量表信息和24小时的电能用量，包括：电表地址、电表编号、用电类型、用电性质、隶属机构、安装地址、设备网络、当前电量。</w:t>
      </w:r>
    </w:p>
    <w:p w14:paraId="35B6733B">
      <w:pPr>
        <w:spacing w:line="360" w:lineRule="auto"/>
        <w:ind w:firstLine="420"/>
        <w:jc w:val="left"/>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显示权限范围耗能单位年累积量、当月累积量、即时用电功率、总有功、无功电量，最大、最小功率。</w:t>
      </w:r>
    </w:p>
    <w:p w14:paraId="0221692D">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drawing>
          <wp:inline distT="0" distB="0" distL="114300" distR="114300">
            <wp:extent cx="5444490" cy="3061970"/>
            <wp:effectExtent l="0" t="0" r="3810" b="5080"/>
            <wp:docPr id="34" name="图片 3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1"/>
                    <pic:cNvPicPr>
                      <a:picLocks noChangeAspect="1"/>
                    </pic:cNvPicPr>
                  </pic:nvPicPr>
                  <pic:blipFill>
                    <a:blip r:embed="rId47"/>
                    <a:stretch>
                      <a:fillRect/>
                    </a:stretch>
                  </pic:blipFill>
                  <pic:spPr>
                    <a:xfrm>
                      <a:off x="0" y="0"/>
                      <a:ext cx="5444490" cy="3061970"/>
                    </a:xfrm>
                    <a:prstGeom prst="rect">
                      <a:avLst/>
                    </a:prstGeom>
                    <a:noFill/>
                    <a:ln>
                      <a:noFill/>
                    </a:ln>
                  </pic:spPr>
                </pic:pic>
              </a:graphicData>
            </a:graphic>
          </wp:inline>
        </w:drawing>
      </w:r>
    </w:p>
    <w:p w14:paraId="71B34EFC">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图4-25 24小时耗电量数据</w:t>
      </w:r>
    </w:p>
    <w:p w14:paraId="47585807">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drawing>
          <wp:inline distT="0" distB="0" distL="114300" distR="114300">
            <wp:extent cx="5273675" cy="2496185"/>
            <wp:effectExtent l="0" t="0" r="3175" b="18415"/>
            <wp:docPr id="35" name="图片 35"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2"/>
                    <pic:cNvPicPr>
                      <a:picLocks noChangeAspect="1"/>
                    </pic:cNvPicPr>
                  </pic:nvPicPr>
                  <pic:blipFill>
                    <a:blip r:embed="rId48"/>
                    <a:stretch>
                      <a:fillRect/>
                    </a:stretch>
                  </pic:blipFill>
                  <pic:spPr>
                    <a:xfrm>
                      <a:off x="0" y="0"/>
                      <a:ext cx="5273675" cy="2496185"/>
                    </a:xfrm>
                    <a:prstGeom prst="rect">
                      <a:avLst/>
                    </a:prstGeom>
                    <a:noFill/>
                    <a:ln>
                      <a:noFill/>
                    </a:ln>
                  </pic:spPr>
                </pic:pic>
              </a:graphicData>
            </a:graphic>
          </wp:inline>
        </w:drawing>
      </w:r>
    </w:p>
    <w:p w14:paraId="567F3D69">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图4-26电量总貌示意图</w:t>
      </w:r>
    </w:p>
    <w:p w14:paraId="2C47B47D">
      <w:pPr>
        <w:pStyle w:val="34"/>
        <w:numPr>
          <w:ilvl w:val="0"/>
          <w:numId w:val="37"/>
        </w:numPr>
        <w:spacing w:line="360" w:lineRule="auto"/>
        <w:ind w:firstLine="845" w:firstLineChars="0"/>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用水监测</w:t>
      </w:r>
    </w:p>
    <w:p w14:paraId="436FA41D">
      <w:pPr>
        <w:spacing w:line="360" w:lineRule="auto"/>
        <w:ind w:firstLine="420"/>
        <w:jc w:val="left"/>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查询权限范围内各水表的实时水量，显示设备信息和24小时的小时用量，包括：水表地址、水表编号、用水类型（普通用水）、用水性质（生活用水）、隶属机构、安装地址、设备网络、实抄水量。</w:t>
      </w:r>
    </w:p>
    <w:p w14:paraId="465658D8">
      <w:pPr>
        <w:spacing w:line="360" w:lineRule="auto"/>
        <w:ind w:firstLine="420"/>
        <w:jc w:val="left"/>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显示权限范围内耗水单位年累积流量、当月累积流量、瞬时用量。</w:t>
      </w:r>
    </w:p>
    <w:p w14:paraId="12536BBE">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drawing>
          <wp:inline distT="0" distB="0" distL="114300" distR="114300">
            <wp:extent cx="5440045" cy="2421255"/>
            <wp:effectExtent l="0" t="0" r="8255" b="17145"/>
            <wp:docPr id="36" name="图片 36" descr="水表用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水表用量"/>
                    <pic:cNvPicPr>
                      <a:picLocks noChangeAspect="1"/>
                    </pic:cNvPicPr>
                  </pic:nvPicPr>
                  <pic:blipFill>
                    <a:blip r:embed="rId49"/>
                    <a:stretch>
                      <a:fillRect/>
                    </a:stretch>
                  </pic:blipFill>
                  <pic:spPr>
                    <a:xfrm>
                      <a:off x="0" y="0"/>
                      <a:ext cx="5440045" cy="2421255"/>
                    </a:xfrm>
                    <a:prstGeom prst="rect">
                      <a:avLst/>
                    </a:prstGeom>
                    <a:noFill/>
                    <a:ln>
                      <a:noFill/>
                    </a:ln>
                  </pic:spPr>
                </pic:pic>
              </a:graphicData>
            </a:graphic>
          </wp:inline>
        </w:drawing>
      </w:r>
    </w:p>
    <w:p w14:paraId="028621F8">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图4-27用量报表查询</w:t>
      </w:r>
    </w:p>
    <w:p w14:paraId="07171D2E">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drawing>
          <wp:inline distT="0" distB="0" distL="114300" distR="114300">
            <wp:extent cx="5436235" cy="2167255"/>
            <wp:effectExtent l="0" t="0" r="12065" b="4445"/>
            <wp:docPr id="37" name="图片 37" descr="24小时报表查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24小时报表查询"/>
                    <pic:cNvPicPr>
                      <a:picLocks noChangeAspect="1"/>
                    </pic:cNvPicPr>
                  </pic:nvPicPr>
                  <pic:blipFill>
                    <a:blip r:embed="rId50"/>
                    <a:stretch>
                      <a:fillRect/>
                    </a:stretch>
                  </pic:blipFill>
                  <pic:spPr>
                    <a:xfrm>
                      <a:off x="0" y="0"/>
                      <a:ext cx="5436235" cy="2167255"/>
                    </a:xfrm>
                    <a:prstGeom prst="rect">
                      <a:avLst/>
                    </a:prstGeom>
                    <a:noFill/>
                    <a:ln>
                      <a:noFill/>
                    </a:ln>
                  </pic:spPr>
                </pic:pic>
              </a:graphicData>
            </a:graphic>
          </wp:inline>
        </w:drawing>
      </w:r>
    </w:p>
    <w:p w14:paraId="131735AB">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图4-28 24小时数据报表示意图</w:t>
      </w:r>
    </w:p>
    <w:p w14:paraId="7248C835">
      <w:pPr>
        <w:pStyle w:val="34"/>
        <w:numPr>
          <w:ilvl w:val="0"/>
          <w:numId w:val="37"/>
        </w:numPr>
        <w:spacing w:line="360" w:lineRule="auto"/>
        <w:ind w:firstLine="845" w:firstLineChars="0"/>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用汽监测</w:t>
      </w:r>
    </w:p>
    <w:p w14:paraId="57EA4C5F">
      <w:pPr>
        <w:spacing w:line="360" w:lineRule="auto"/>
        <w:ind w:firstLine="420"/>
        <w:jc w:val="left"/>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查询权限范围内各流量计的实时流量，显示设备信息和24小时的小时用量，包括：流量计地址、流量计编号、用汽性质、隶属机构、安装地址、设备网络、实抄量。</w:t>
      </w:r>
    </w:p>
    <w:p w14:paraId="35EAF2A2">
      <w:pPr>
        <w:spacing w:line="360" w:lineRule="auto"/>
        <w:ind w:firstLine="420"/>
        <w:jc w:val="left"/>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显示权限范围内耗汽单位年累积流量、当月累积流量、瞬时用量。</w:t>
      </w:r>
    </w:p>
    <w:p w14:paraId="4F521C3D">
      <w:pPr>
        <w:pStyle w:val="34"/>
        <w:numPr>
          <w:ilvl w:val="0"/>
          <w:numId w:val="37"/>
        </w:numPr>
        <w:spacing w:line="360" w:lineRule="auto"/>
        <w:ind w:firstLine="845" w:firstLineChars="0"/>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各单位用能统计</w:t>
      </w:r>
    </w:p>
    <w:p w14:paraId="20991942">
      <w:pPr>
        <w:spacing w:line="360" w:lineRule="auto"/>
        <w:ind w:firstLine="420"/>
        <w:jc w:val="left"/>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包括：建筑区域总的用能数量（水、电、汽）和各单位用能情况的集中显示。</w:t>
      </w:r>
    </w:p>
    <w:p w14:paraId="402E6FBB">
      <w:pPr>
        <w:numPr>
          <w:ilvl w:val="0"/>
          <w:numId w:val="35"/>
        </w:numPr>
        <w:spacing w:line="360" w:lineRule="auto"/>
        <w:ind w:left="845"/>
        <w:jc w:val="left"/>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能耗对比分析模块</w:t>
      </w:r>
    </w:p>
    <w:p w14:paraId="472AAE17">
      <w:pPr>
        <w:pStyle w:val="34"/>
        <w:numPr>
          <w:ilvl w:val="0"/>
          <w:numId w:val="38"/>
        </w:numPr>
        <w:spacing w:line="360" w:lineRule="auto"/>
        <w:ind w:left="845" w:firstLine="0" w:firstLineChars="0"/>
        <w:rPr>
          <w:rFonts w:hint="eastAsia" w:ascii="微软雅黑 Light" w:hAnsi="微软雅黑 Light" w:eastAsia="微软雅黑 Light" w:cs="微软雅黑 Light"/>
          <w:sz w:val="21"/>
          <w:szCs w:val="21"/>
        </w:rPr>
      </w:pPr>
      <w:bookmarkStart w:id="144" w:name="_Toc277881309"/>
      <w:r>
        <w:rPr>
          <w:rFonts w:hint="eastAsia" w:ascii="微软雅黑 Light" w:hAnsi="微软雅黑 Light" w:eastAsia="微软雅黑 Light" w:cs="微软雅黑 Light"/>
          <w:sz w:val="21"/>
          <w:szCs w:val="21"/>
        </w:rPr>
        <w:t>分类分项小时、日、月能耗对比</w:t>
      </w:r>
      <w:bookmarkEnd w:id="144"/>
      <w:r>
        <w:rPr>
          <w:rFonts w:hint="eastAsia" w:ascii="微软雅黑 Light" w:hAnsi="微软雅黑 Light" w:eastAsia="微软雅黑 Light" w:cs="微软雅黑 Light"/>
          <w:sz w:val="21"/>
          <w:szCs w:val="21"/>
        </w:rPr>
        <w:t>；</w:t>
      </w:r>
    </w:p>
    <w:p w14:paraId="00C9E1D3">
      <w:pPr>
        <w:pStyle w:val="34"/>
        <w:numPr>
          <w:ilvl w:val="0"/>
          <w:numId w:val="38"/>
        </w:numPr>
        <w:spacing w:line="360" w:lineRule="auto"/>
        <w:ind w:left="845" w:firstLine="0" w:firstLineChars="0"/>
        <w:rPr>
          <w:rFonts w:hint="eastAsia" w:ascii="微软雅黑 Light" w:hAnsi="微软雅黑 Light" w:eastAsia="微软雅黑 Light" w:cs="微软雅黑 Light"/>
          <w:sz w:val="21"/>
          <w:szCs w:val="21"/>
        </w:rPr>
      </w:pPr>
      <w:bookmarkStart w:id="145" w:name="_Toc277881312"/>
      <w:r>
        <w:rPr>
          <w:rFonts w:hint="eastAsia" w:ascii="微软雅黑 Light" w:hAnsi="微软雅黑 Light" w:eastAsia="微软雅黑 Light" w:cs="微软雅黑 Light"/>
          <w:sz w:val="21"/>
          <w:szCs w:val="21"/>
        </w:rPr>
        <w:t>分类分项能耗月同比</w:t>
      </w:r>
      <w:bookmarkEnd w:id="145"/>
      <w:r>
        <w:rPr>
          <w:rFonts w:hint="eastAsia" w:ascii="微软雅黑 Light" w:hAnsi="微软雅黑 Light" w:eastAsia="微软雅黑 Light" w:cs="微软雅黑 Light"/>
          <w:sz w:val="21"/>
          <w:szCs w:val="21"/>
        </w:rPr>
        <w:t>：可消除季节变动的影响，用以说明本期能耗发展水平与去年同期发展水平对比而达到的相对发展速度。如，本期2月比去年2月，本期6月比去年6月等</w:t>
      </w:r>
      <w:bookmarkStart w:id="146" w:name="_Toc277881313"/>
      <w:r>
        <w:rPr>
          <w:rFonts w:hint="eastAsia" w:ascii="微软雅黑 Light" w:hAnsi="微软雅黑 Light" w:eastAsia="微软雅黑 Light" w:cs="微软雅黑 Light"/>
          <w:sz w:val="21"/>
          <w:szCs w:val="21"/>
        </w:rPr>
        <w:t>；</w:t>
      </w:r>
    </w:p>
    <w:p w14:paraId="786E7068">
      <w:pPr>
        <w:pStyle w:val="34"/>
        <w:numPr>
          <w:ilvl w:val="0"/>
          <w:numId w:val="38"/>
        </w:numPr>
        <w:spacing w:line="360" w:lineRule="auto"/>
        <w:ind w:left="845" w:firstLine="0" w:firstLineChars="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能耗月环比</w:t>
      </w:r>
      <w:bookmarkEnd w:id="146"/>
      <w:r>
        <w:rPr>
          <w:rFonts w:hint="eastAsia" w:ascii="微软雅黑 Light" w:hAnsi="微软雅黑 Light" w:eastAsia="微软雅黑 Light" w:cs="微软雅黑 Light"/>
          <w:sz w:val="21"/>
          <w:szCs w:val="21"/>
        </w:rPr>
        <w:t>：以选择的时间月份为基准，计算各月与前一个月对比，即2月比1月，3月比2月，4月比3月 ……12月比11月，说明逐月的能耗发展程度，比较周期采取最近12个月的分类分项能耗；</w:t>
      </w:r>
    </w:p>
    <w:p w14:paraId="4ECE666E">
      <w:pPr>
        <w:pStyle w:val="34"/>
        <w:numPr>
          <w:ilvl w:val="0"/>
          <w:numId w:val="38"/>
        </w:numPr>
        <w:spacing w:line="360" w:lineRule="auto"/>
        <w:ind w:left="845" w:firstLine="0" w:firstLineChars="0"/>
        <w:rPr>
          <w:rFonts w:hint="eastAsia" w:ascii="微软雅黑 Light" w:hAnsi="微软雅黑 Light" w:eastAsia="微软雅黑 Light" w:cs="微软雅黑 Light"/>
          <w:sz w:val="21"/>
          <w:szCs w:val="21"/>
        </w:rPr>
      </w:pPr>
      <w:bookmarkStart w:id="147" w:name="_Toc277881317"/>
      <w:r>
        <w:rPr>
          <w:rFonts w:hint="eastAsia" w:ascii="微软雅黑 Light" w:hAnsi="微软雅黑 Light" w:eastAsia="微软雅黑 Light" w:cs="微软雅黑 Light"/>
          <w:sz w:val="21"/>
          <w:szCs w:val="21"/>
        </w:rPr>
        <w:t>指定时间内，不同耗能单位、表计之间的对比</w:t>
      </w:r>
      <w:bookmarkEnd w:id="147"/>
      <w:r>
        <w:rPr>
          <w:rFonts w:hint="eastAsia" w:ascii="微软雅黑 Light" w:hAnsi="微软雅黑 Light" w:eastAsia="微软雅黑 Light" w:cs="微软雅黑 Light"/>
          <w:sz w:val="21"/>
          <w:szCs w:val="21"/>
        </w:rPr>
        <w:t>；</w:t>
      </w:r>
    </w:p>
    <w:p w14:paraId="49484DA7">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drawing>
          <wp:inline distT="0" distB="0" distL="114300" distR="114300">
            <wp:extent cx="5349240" cy="2215515"/>
            <wp:effectExtent l="0" t="0" r="3810" b="13335"/>
            <wp:docPr id="38" name="图片 38" descr="数据对比报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数据对比报表"/>
                    <pic:cNvPicPr>
                      <a:picLocks noChangeAspect="1"/>
                    </pic:cNvPicPr>
                  </pic:nvPicPr>
                  <pic:blipFill>
                    <a:blip r:embed="rId51"/>
                    <a:stretch>
                      <a:fillRect/>
                    </a:stretch>
                  </pic:blipFill>
                  <pic:spPr>
                    <a:xfrm>
                      <a:off x="0" y="0"/>
                      <a:ext cx="5349240" cy="2215515"/>
                    </a:xfrm>
                    <a:prstGeom prst="rect">
                      <a:avLst/>
                    </a:prstGeom>
                    <a:noFill/>
                    <a:ln>
                      <a:noFill/>
                    </a:ln>
                  </pic:spPr>
                </pic:pic>
              </a:graphicData>
            </a:graphic>
          </wp:inline>
        </w:drawing>
      </w:r>
    </w:p>
    <w:p w14:paraId="55F97B7F">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图4-29数据对比报表示意图</w:t>
      </w:r>
    </w:p>
    <w:p w14:paraId="6C6E3A52">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drawing>
          <wp:inline distT="0" distB="0" distL="114300" distR="114300">
            <wp:extent cx="5450205" cy="1590040"/>
            <wp:effectExtent l="0" t="0" r="17145" b="10160"/>
            <wp:docPr id="39" name="图片 39" descr="未命名-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未命名-1"/>
                    <pic:cNvPicPr>
                      <a:picLocks noChangeAspect="1"/>
                    </pic:cNvPicPr>
                  </pic:nvPicPr>
                  <pic:blipFill>
                    <a:blip r:embed="rId52"/>
                    <a:stretch>
                      <a:fillRect/>
                    </a:stretch>
                  </pic:blipFill>
                  <pic:spPr>
                    <a:xfrm>
                      <a:off x="0" y="0"/>
                      <a:ext cx="5450205" cy="1590040"/>
                    </a:xfrm>
                    <a:prstGeom prst="rect">
                      <a:avLst/>
                    </a:prstGeom>
                    <a:noFill/>
                    <a:ln>
                      <a:noFill/>
                    </a:ln>
                  </pic:spPr>
                </pic:pic>
              </a:graphicData>
            </a:graphic>
          </wp:inline>
        </w:drawing>
      </w:r>
    </w:p>
    <w:p w14:paraId="6BAB173F">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drawing>
          <wp:inline distT="0" distB="0" distL="114300" distR="114300">
            <wp:extent cx="5397500" cy="2069465"/>
            <wp:effectExtent l="0" t="0" r="12700" b="6985"/>
            <wp:docPr id="40" name="图片 40"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图片3"/>
                    <pic:cNvPicPr>
                      <a:picLocks noChangeAspect="1"/>
                    </pic:cNvPicPr>
                  </pic:nvPicPr>
                  <pic:blipFill>
                    <a:blip r:embed="rId53"/>
                    <a:stretch>
                      <a:fillRect/>
                    </a:stretch>
                  </pic:blipFill>
                  <pic:spPr>
                    <a:xfrm>
                      <a:off x="0" y="0"/>
                      <a:ext cx="5397500" cy="2069465"/>
                    </a:xfrm>
                    <a:prstGeom prst="rect">
                      <a:avLst/>
                    </a:prstGeom>
                    <a:noFill/>
                    <a:ln>
                      <a:noFill/>
                    </a:ln>
                  </pic:spPr>
                </pic:pic>
              </a:graphicData>
            </a:graphic>
          </wp:inline>
        </w:drawing>
      </w:r>
    </w:p>
    <w:p w14:paraId="594FCEBA">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图4-30不同起始时间的数据对比曲线示意图</w:t>
      </w:r>
    </w:p>
    <w:p w14:paraId="0B61FED2">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drawing>
          <wp:inline distT="0" distB="0" distL="114300" distR="114300">
            <wp:extent cx="5422265" cy="3123565"/>
            <wp:effectExtent l="0" t="0" r="6985" b="635"/>
            <wp:docPr id="41" name="图片 41"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片2"/>
                    <pic:cNvPicPr>
                      <a:picLocks noChangeAspect="1"/>
                    </pic:cNvPicPr>
                  </pic:nvPicPr>
                  <pic:blipFill>
                    <a:blip r:embed="rId54"/>
                    <a:stretch>
                      <a:fillRect/>
                    </a:stretch>
                  </pic:blipFill>
                  <pic:spPr>
                    <a:xfrm>
                      <a:off x="0" y="0"/>
                      <a:ext cx="5422265" cy="3123565"/>
                    </a:xfrm>
                    <a:prstGeom prst="rect">
                      <a:avLst/>
                    </a:prstGeom>
                    <a:noFill/>
                    <a:ln>
                      <a:noFill/>
                    </a:ln>
                  </pic:spPr>
                </pic:pic>
              </a:graphicData>
            </a:graphic>
          </wp:inline>
        </w:drawing>
      </w:r>
    </w:p>
    <w:p w14:paraId="4D3E5214">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图4-31对比柱状示意图（按月）</w:t>
      </w:r>
    </w:p>
    <w:p w14:paraId="39B6A939">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drawing>
          <wp:inline distT="0" distB="0" distL="114300" distR="114300">
            <wp:extent cx="5266690" cy="2338070"/>
            <wp:effectExtent l="0" t="0" r="10160" b="5080"/>
            <wp:docPr id="42" name="图片 42"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图片4"/>
                    <pic:cNvPicPr>
                      <a:picLocks noChangeAspect="1"/>
                    </pic:cNvPicPr>
                  </pic:nvPicPr>
                  <pic:blipFill>
                    <a:blip r:embed="rId55"/>
                    <a:stretch>
                      <a:fillRect/>
                    </a:stretch>
                  </pic:blipFill>
                  <pic:spPr>
                    <a:xfrm>
                      <a:off x="0" y="0"/>
                      <a:ext cx="5266690" cy="2338070"/>
                    </a:xfrm>
                    <a:prstGeom prst="rect">
                      <a:avLst/>
                    </a:prstGeom>
                    <a:noFill/>
                    <a:ln>
                      <a:noFill/>
                    </a:ln>
                  </pic:spPr>
                </pic:pic>
              </a:graphicData>
            </a:graphic>
          </wp:inline>
        </w:drawing>
      </w:r>
    </w:p>
    <w:p w14:paraId="230047C2">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图4-32对比柱状示意图（按站点）</w:t>
      </w:r>
    </w:p>
    <w:p w14:paraId="7FB73BE8">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drawing>
          <wp:inline distT="0" distB="0" distL="114300" distR="114300">
            <wp:extent cx="5271770" cy="2195195"/>
            <wp:effectExtent l="0" t="0" r="5080" b="14605"/>
            <wp:docPr id="43" name="图片 43"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图片5"/>
                    <pic:cNvPicPr>
                      <a:picLocks noChangeAspect="1"/>
                    </pic:cNvPicPr>
                  </pic:nvPicPr>
                  <pic:blipFill>
                    <a:blip r:embed="rId56"/>
                    <a:stretch>
                      <a:fillRect/>
                    </a:stretch>
                  </pic:blipFill>
                  <pic:spPr>
                    <a:xfrm>
                      <a:off x="0" y="0"/>
                      <a:ext cx="5271770" cy="2195195"/>
                    </a:xfrm>
                    <a:prstGeom prst="rect">
                      <a:avLst/>
                    </a:prstGeom>
                    <a:noFill/>
                    <a:ln>
                      <a:noFill/>
                    </a:ln>
                  </pic:spPr>
                </pic:pic>
              </a:graphicData>
            </a:graphic>
          </wp:inline>
        </w:drawing>
      </w:r>
    </w:p>
    <w:p w14:paraId="6B5D6A98">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图4-33对比柱状示意图（三维）</w:t>
      </w:r>
    </w:p>
    <w:p w14:paraId="6951190E">
      <w:pPr>
        <w:numPr>
          <w:ilvl w:val="0"/>
          <w:numId w:val="35"/>
        </w:numPr>
        <w:spacing w:line="360" w:lineRule="auto"/>
        <w:ind w:left="845"/>
        <w:jc w:val="left"/>
        <w:rPr>
          <w:rFonts w:hint="eastAsia" w:ascii="微软雅黑 Light" w:hAnsi="微软雅黑 Light" w:eastAsia="微软雅黑 Light" w:cs="微软雅黑 Light"/>
          <w:b/>
          <w:bCs/>
          <w:sz w:val="21"/>
          <w:szCs w:val="21"/>
        </w:rPr>
      </w:pPr>
      <w:bookmarkStart w:id="148" w:name="_Toc262551316"/>
      <w:bookmarkStart w:id="149" w:name="_Toc262558538"/>
      <w:bookmarkStart w:id="150" w:name="_Toc277674943"/>
      <w:bookmarkStart w:id="151" w:name="_Toc262549898"/>
      <w:bookmarkStart w:id="152" w:name="_Toc8617"/>
      <w:bookmarkStart w:id="153" w:name="_Toc277677183"/>
      <w:bookmarkStart w:id="154" w:name="_Toc262030348"/>
      <w:r>
        <w:rPr>
          <w:rFonts w:hint="eastAsia" w:ascii="微软雅黑 Light" w:hAnsi="微软雅黑 Light" w:eastAsia="微软雅黑 Light" w:cs="微软雅黑 Light"/>
          <w:b/>
          <w:bCs/>
          <w:sz w:val="21"/>
          <w:szCs w:val="21"/>
        </w:rPr>
        <w:t>管理层能耗监管</w:t>
      </w:r>
      <w:bookmarkEnd w:id="148"/>
      <w:bookmarkEnd w:id="149"/>
      <w:bookmarkEnd w:id="150"/>
      <w:bookmarkEnd w:id="151"/>
      <w:bookmarkEnd w:id="152"/>
      <w:bookmarkEnd w:id="153"/>
      <w:bookmarkEnd w:id="154"/>
    </w:p>
    <w:p w14:paraId="14B258F1">
      <w:pPr>
        <w:pStyle w:val="34"/>
        <w:numPr>
          <w:ilvl w:val="0"/>
          <w:numId w:val="39"/>
        </w:numPr>
        <w:spacing w:line="360" w:lineRule="auto"/>
        <w:ind w:firstLine="845" w:firstLineChars="0"/>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层次说明</w:t>
      </w:r>
    </w:p>
    <w:p w14:paraId="34C6CABA">
      <w:pPr>
        <w:spacing w:line="360" w:lineRule="auto"/>
        <w:ind w:left="420" w:firstLine="420"/>
        <w:jc w:val="left"/>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管理层是</w:t>
      </w:r>
      <w:r>
        <w:rPr>
          <w:rFonts w:hint="eastAsia" w:ascii="微软雅黑 Light" w:hAnsi="微软雅黑 Light" w:cs="微软雅黑 Light"/>
          <w:sz w:val="21"/>
          <w:szCs w:val="21"/>
          <w:lang w:eastAsia="zh-CN"/>
        </w:rPr>
        <w:t>建筑能耗管理</w:t>
      </w:r>
      <w:r>
        <w:rPr>
          <w:rFonts w:hint="eastAsia" w:ascii="微软雅黑 Light" w:hAnsi="微软雅黑 Light" w:eastAsia="微软雅黑 Light" w:cs="微软雅黑 Light"/>
          <w:sz w:val="21"/>
          <w:szCs w:val="21"/>
        </w:rPr>
        <w:t>的决策机构。</w:t>
      </w:r>
    </w:p>
    <w:p w14:paraId="790B076E">
      <w:pPr>
        <w:pStyle w:val="34"/>
        <w:numPr>
          <w:ilvl w:val="0"/>
          <w:numId w:val="39"/>
        </w:numPr>
        <w:spacing w:line="360" w:lineRule="auto"/>
        <w:ind w:firstLine="845" w:firstLineChars="0"/>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总能耗数据汇总</w:t>
      </w:r>
    </w:p>
    <w:p w14:paraId="63E4C075">
      <w:pPr>
        <w:numPr>
          <w:ilvl w:val="0"/>
          <w:numId w:val="40"/>
        </w:numPr>
        <w:spacing w:line="360" w:lineRule="auto"/>
        <w:ind w:left="1260"/>
        <w:jc w:val="left"/>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可查看建筑总能耗值；</w:t>
      </w:r>
    </w:p>
    <w:p w14:paraId="2458C6FD">
      <w:pPr>
        <w:numPr>
          <w:ilvl w:val="0"/>
          <w:numId w:val="40"/>
        </w:numPr>
        <w:spacing w:line="360" w:lineRule="auto"/>
        <w:ind w:left="1260"/>
        <w:jc w:val="left"/>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可选择所有耗能单位，查看建筑各耗能单位能耗汇总；</w:t>
      </w:r>
    </w:p>
    <w:p w14:paraId="74F4B143">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drawing>
          <wp:inline distT="0" distB="0" distL="114300" distR="114300">
            <wp:extent cx="5261610" cy="2477135"/>
            <wp:effectExtent l="0" t="0" r="15240" b="18415"/>
            <wp:docPr id="44" name="图片 44"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图片2"/>
                    <pic:cNvPicPr>
                      <a:picLocks noChangeAspect="1"/>
                    </pic:cNvPicPr>
                  </pic:nvPicPr>
                  <pic:blipFill>
                    <a:blip r:embed="rId57"/>
                    <a:stretch>
                      <a:fillRect/>
                    </a:stretch>
                  </pic:blipFill>
                  <pic:spPr>
                    <a:xfrm>
                      <a:off x="0" y="0"/>
                      <a:ext cx="5261610" cy="2477135"/>
                    </a:xfrm>
                    <a:prstGeom prst="rect">
                      <a:avLst/>
                    </a:prstGeom>
                    <a:noFill/>
                    <a:ln>
                      <a:noFill/>
                    </a:ln>
                  </pic:spPr>
                </pic:pic>
              </a:graphicData>
            </a:graphic>
          </wp:inline>
        </w:drawing>
      </w:r>
    </w:p>
    <w:p w14:paraId="2FBA22A1">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图4-34对比分析图</w:t>
      </w:r>
    </w:p>
    <w:p w14:paraId="6A7598FC">
      <w:pPr>
        <w:pStyle w:val="34"/>
        <w:numPr>
          <w:ilvl w:val="0"/>
          <w:numId w:val="39"/>
        </w:numPr>
        <w:spacing w:line="360" w:lineRule="auto"/>
        <w:ind w:firstLine="845" w:firstLineChars="0"/>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分类能耗查看</w:t>
      </w:r>
    </w:p>
    <w:p w14:paraId="24C9971E">
      <w:pPr>
        <w:numPr>
          <w:ilvl w:val="0"/>
          <w:numId w:val="41"/>
        </w:numPr>
        <w:spacing w:line="360" w:lineRule="auto"/>
        <w:ind w:left="1260"/>
        <w:jc w:val="left"/>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可查看建筑各个分类能耗；</w:t>
      </w:r>
    </w:p>
    <w:p w14:paraId="6DABCA91">
      <w:pPr>
        <w:numPr>
          <w:ilvl w:val="0"/>
          <w:numId w:val="41"/>
        </w:numPr>
        <w:spacing w:line="360" w:lineRule="auto"/>
        <w:ind w:left="1260"/>
        <w:jc w:val="left"/>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可查看建筑各耗能单位分类能耗；</w:t>
      </w:r>
    </w:p>
    <w:p w14:paraId="53ACB4F6">
      <w:pPr>
        <w:numPr>
          <w:ilvl w:val="0"/>
          <w:numId w:val="41"/>
        </w:numPr>
        <w:spacing w:line="360" w:lineRule="auto"/>
        <w:ind w:left="1260"/>
        <w:jc w:val="left"/>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可查看汇总能耗报表数据；</w:t>
      </w:r>
    </w:p>
    <w:p w14:paraId="533CF5CC">
      <w:pPr>
        <w:pStyle w:val="34"/>
        <w:numPr>
          <w:ilvl w:val="0"/>
          <w:numId w:val="39"/>
        </w:numPr>
        <w:spacing w:line="360" w:lineRule="auto"/>
        <w:ind w:firstLine="845" w:firstLineChars="0"/>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比例和对比分析</w:t>
      </w:r>
    </w:p>
    <w:p w14:paraId="64B630C7">
      <w:pPr>
        <w:spacing w:line="360" w:lineRule="auto"/>
        <w:ind w:left="420" w:firstLine="420"/>
        <w:jc w:val="left"/>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各耗能单位中各类各项能耗占总能耗的比例和对比；</w:t>
      </w:r>
    </w:p>
    <w:p w14:paraId="7E5D27BC">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drawing>
          <wp:inline distT="0" distB="0" distL="114300" distR="114300">
            <wp:extent cx="5271770" cy="2020570"/>
            <wp:effectExtent l="0" t="0" r="5080" b="17780"/>
            <wp:docPr id="45" name="图片 45" descr="未命名-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未命名-2"/>
                    <pic:cNvPicPr>
                      <a:picLocks noChangeAspect="1"/>
                    </pic:cNvPicPr>
                  </pic:nvPicPr>
                  <pic:blipFill>
                    <a:blip r:embed="rId58"/>
                    <a:stretch>
                      <a:fillRect/>
                    </a:stretch>
                  </pic:blipFill>
                  <pic:spPr>
                    <a:xfrm>
                      <a:off x="0" y="0"/>
                      <a:ext cx="5271770" cy="2020570"/>
                    </a:xfrm>
                    <a:prstGeom prst="rect">
                      <a:avLst/>
                    </a:prstGeom>
                    <a:noFill/>
                    <a:ln>
                      <a:noFill/>
                    </a:ln>
                  </pic:spPr>
                </pic:pic>
              </a:graphicData>
            </a:graphic>
          </wp:inline>
        </w:drawing>
      </w:r>
    </w:p>
    <w:p w14:paraId="584DD5BD">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图4-35管理层分析工具示意图</w:t>
      </w:r>
    </w:p>
    <w:p w14:paraId="26320B03">
      <w:pPr>
        <w:spacing w:before="120" w:beforeLines="50" w:after="120" w:afterLines="5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br w:type="page"/>
      </w:r>
    </w:p>
    <w:p w14:paraId="5754644E">
      <w:pPr>
        <w:pStyle w:val="2"/>
        <w:bidi w:val="0"/>
        <w:rPr>
          <w:rFonts w:hint="eastAsia"/>
        </w:rPr>
      </w:pPr>
      <w:bookmarkStart w:id="155" w:name="_Toc14360"/>
      <w:bookmarkStart w:id="156" w:name="_Toc2521"/>
      <w:r>
        <w:rPr>
          <w:rFonts w:hint="eastAsia"/>
        </w:rPr>
        <w:t>硬件体系介绍</w:t>
      </w:r>
      <w:bookmarkEnd w:id="155"/>
      <w:bookmarkEnd w:id="156"/>
    </w:p>
    <w:p w14:paraId="6ABFFD24">
      <w:pPr>
        <w:pStyle w:val="3"/>
        <w:numPr>
          <w:ilvl w:val="0"/>
          <w:numId w:val="0"/>
        </w:numPr>
        <w:bidi w:val="0"/>
        <w:rPr>
          <w:rFonts w:hint="eastAsia"/>
        </w:rPr>
      </w:pPr>
      <w:bookmarkStart w:id="157" w:name="_Toc10502"/>
      <w:bookmarkStart w:id="158" w:name="_Toc9852"/>
      <w:r>
        <w:rPr>
          <w:rFonts w:hint="eastAsia"/>
          <w:lang w:val="en-US" w:eastAsia="zh-CN"/>
        </w:rPr>
        <w:t>5.1</w:t>
      </w:r>
      <w:r>
        <w:rPr>
          <w:rFonts w:hint="eastAsia"/>
        </w:rPr>
        <w:t>能耗监测及数据采集工程</w:t>
      </w:r>
      <w:bookmarkEnd w:id="157"/>
      <w:bookmarkEnd w:id="158"/>
    </w:p>
    <w:p w14:paraId="34E47ACD">
      <w:pPr>
        <w:tabs>
          <w:tab w:val="left" w:pos="720"/>
        </w:tabs>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cs="微软雅黑 Light"/>
          <w:sz w:val="21"/>
          <w:szCs w:val="21"/>
          <w:lang w:eastAsia="zh-CN"/>
        </w:rPr>
        <w:t>建筑能耗管理</w:t>
      </w:r>
      <w:r>
        <w:rPr>
          <w:rFonts w:hint="eastAsia" w:ascii="微软雅黑 Light" w:hAnsi="微软雅黑 Light" w:eastAsia="微软雅黑 Light" w:cs="微软雅黑 Light"/>
          <w:sz w:val="21"/>
          <w:szCs w:val="21"/>
        </w:rPr>
        <w:t>系统能耗监测及数据采集工程采购总清单及具体技术要求详见附件设备清单。</w:t>
      </w:r>
    </w:p>
    <w:p w14:paraId="32F4519B">
      <w:pPr>
        <w:pStyle w:val="4"/>
        <w:bidi w:val="0"/>
        <w:rPr>
          <w:rFonts w:hint="eastAsia"/>
        </w:rPr>
      </w:pPr>
      <w:bookmarkStart w:id="159" w:name="_Toc6433"/>
      <w:bookmarkStart w:id="160" w:name="_Toc26526"/>
      <w:r>
        <w:rPr>
          <w:rFonts w:hint="eastAsia"/>
        </w:rPr>
        <w:t>5.1.1电能表</w:t>
      </w:r>
      <w:bookmarkEnd w:id="159"/>
      <w:bookmarkEnd w:id="160"/>
    </w:p>
    <w:p w14:paraId="7DB27E1A">
      <w:pPr>
        <w:numPr>
          <w:ilvl w:val="0"/>
          <w:numId w:val="42"/>
        </w:numPr>
        <w:spacing w:line="360" w:lineRule="auto"/>
        <w:rPr>
          <w:rFonts w:hint="eastAsia" w:ascii="微软雅黑 Light" w:hAnsi="微软雅黑 Light" w:eastAsia="微软雅黑 Light" w:cs="微软雅黑 Light"/>
          <w:b/>
          <w:sz w:val="21"/>
          <w:szCs w:val="21"/>
        </w:rPr>
      </w:pPr>
      <w:r>
        <w:rPr>
          <w:rFonts w:hint="eastAsia" w:ascii="微软雅黑 Light" w:hAnsi="微软雅黑 Light" w:eastAsia="微软雅黑 Light" w:cs="微软雅黑 Light"/>
          <w:b/>
          <w:sz w:val="21"/>
          <w:szCs w:val="21"/>
        </w:rPr>
        <w:t>三相电子式多功能电能表性能指标</w:t>
      </w:r>
    </w:p>
    <w:p w14:paraId="4A464C09">
      <w:pPr>
        <w:numPr>
          <w:ilvl w:val="0"/>
          <w:numId w:val="43"/>
        </w:numPr>
        <w:spacing w:line="360" w:lineRule="auto"/>
        <w:ind w:left="845"/>
        <w:rPr>
          <w:rFonts w:hint="eastAsia" w:ascii="微软雅黑 Light" w:hAnsi="微软雅黑 Light" w:eastAsia="微软雅黑 Light" w:cs="微软雅黑 Light"/>
          <w:kern w:val="0"/>
          <w:sz w:val="21"/>
          <w:szCs w:val="21"/>
        </w:rPr>
      </w:pPr>
      <w:r>
        <w:rPr>
          <w:rFonts w:hint="eastAsia" w:ascii="微软雅黑 Light" w:hAnsi="微软雅黑 Light" w:eastAsia="微软雅黑 Light" w:cs="微软雅黑 Light"/>
          <w:kern w:val="0"/>
          <w:sz w:val="21"/>
          <w:szCs w:val="21"/>
        </w:rPr>
        <w:t>电压、电流规格：3*220/380V,3*1.5(6)A；</w:t>
      </w:r>
    </w:p>
    <w:p w14:paraId="1BC90C08">
      <w:pPr>
        <w:numPr>
          <w:ilvl w:val="0"/>
          <w:numId w:val="43"/>
        </w:numPr>
        <w:spacing w:line="360" w:lineRule="auto"/>
        <w:ind w:left="845"/>
        <w:rPr>
          <w:rFonts w:hint="eastAsia" w:ascii="微软雅黑 Light" w:hAnsi="微软雅黑 Light" w:eastAsia="微软雅黑 Light" w:cs="微软雅黑 Light"/>
          <w:kern w:val="0"/>
          <w:sz w:val="21"/>
          <w:szCs w:val="21"/>
        </w:rPr>
      </w:pPr>
      <w:r>
        <w:rPr>
          <w:rFonts w:hint="eastAsia" w:ascii="微软雅黑 Light" w:hAnsi="微软雅黑 Light" w:eastAsia="微软雅黑 Light" w:cs="微软雅黑 Light"/>
          <w:kern w:val="0"/>
          <w:sz w:val="21"/>
          <w:szCs w:val="21"/>
        </w:rPr>
        <w:t>多功能电能表的精确度等级:有功0.5S级,无功2.0级；</w:t>
      </w:r>
    </w:p>
    <w:p w14:paraId="57E291B1">
      <w:pPr>
        <w:numPr>
          <w:ilvl w:val="0"/>
          <w:numId w:val="43"/>
        </w:numPr>
        <w:spacing w:line="360" w:lineRule="auto"/>
        <w:ind w:left="845"/>
        <w:rPr>
          <w:rFonts w:hint="eastAsia" w:ascii="微软雅黑 Light" w:hAnsi="微软雅黑 Light" w:eastAsia="微软雅黑 Light" w:cs="微软雅黑 Light"/>
          <w:kern w:val="0"/>
          <w:sz w:val="21"/>
          <w:szCs w:val="21"/>
        </w:rPr>
      </w:pPr>
      <w:r>
        <w:rPr>
          <w:rFonts w:hint="eastAsia" w:ascii="微软雅黑 Light" w:hAnsi="微软雅黑 Light" w:eastAsia="微软雅黑 Light" w:cs="微软雅黑 Light"/>
          <w:kern w:val="0"/>
          <w:sz w:val="21"/>
          <w:szCs w:val="21"/>
        </w:rPr>
        <w:t>具有有功功率、无功功率、功率因数、各相（线）电压、各相电流、相角、频率以及最大需量等参数的测量和计量正反向有、无功功能；</w:t>
      </w:r>
    </w:p>
    <w:p w14:paraId="2E85B3FC">
      <w:pPr>
        <w:numPr>
          <w:ilvl w:val="0"/>
          <w:numId w:val="43"/>
        </w:numPr>
        <w:spacing w:line="360" w:lineRule="auto"/>
        <w:ind w:left="845"/>
        <w:rPr>
          <w:rFonts w:hint="eastAsia" w:ascii="微软雅黑 Light" w:hAnsi="微软雅黑 Light" w:eastAsia="微软雅黑 Light" w:cs="微软雅黑 Light"/>
          <w:kern w:val="0"/>
          <w:sz w:val="21"/>
          <w:szCs w:val="21"/>
        </w:rPr>
      </w:pPr>
      <w:r>
        <w:rPr>
          <w:rFonts w:hint="eastAsia" w:ascii="微软雅黑 Light" w:hAnsi="微软雅黑 Light" w:eastAsia="微软雅黑 Light" w:cs="微软雅黑 Light"/>
          <w:kern w:val="0"/>
          <w:sz w:val="21"/>
          <w:szCs w:val="21"/>
        </w:rPr>
        <w:t>具有数据远传功能，具有双路软、硬件完全独立的RS485通讯接口，符合《多功能电能表通信规约》DT/L645-1997、DT/L645-2007、modbus中的有关规定，停电后电量自动存储、通讯线断不影响计量，数据不丢失；</w:t>
      </w:r>
    </w:p>
    <w:p w14:paraId="17C8A7ED">
      <w:pPr>
        <w:numPr>
          <w:ilvl w:val="0"/>
          <w:numId w:val="43"/>
        </w:numPr>
        <w:spacing w:line="360" w:lineRule="auto"/>
        <w:ind w:left="845"/>
        <w:rPr>
          <w:rFonts w:hint="eastAsia" w:ascii="微软雅黑 Light" w:hAnsi="微软雅黑 Light" w:eastAsia="微软雅黑 Light" w:cs="微软雅黑 Light"/>
          <w:kern w:val="0"/>
          <w:sz w:val="21"/>
          <w:szCs w:val="21"/>
        </w:rPr>
      </w:pPr>
      <w:r>
        <w:rPr>
          <w:rFonts w:hint="eastAsia" w:ascii="微软雅黑 Light" w:hAnsi="微软雅黑 Light" w:eastAsia="微软雅黑 Light" w:cs="微软雅黑 Light"/>
          <w:kern w:val="0"/>
          <w:sz w:val="21"/>
          <w:szCs w:val="21"/>
        </w:rPr>
        <w:t>有循显、按键显示现场状态、按键显示全部数据三种显示模式；</w:t>
      </w:r>
    </w:p>
    <w:p w14:paraId="36F0B296">
      <w:pPr>
        <w:numPr>
          <w:ilvl w:val="0"/>
          <w:numId w:val="43"/>
        </w:numPr>
        <w:spacing w:line="360" w:lineRule="auto"/>
        <w:ind w:left="845"/>
        <w:rPr>
          <w:rFonts w:hint="eastAsia" w:ascii="微软雅黑 Light" w:hAnsi="微软雅黑 Light" w:eastAsia="微软雅黑 Light" w:cs="微软雅黑 Light"/>
          <w:kern w:val="0"/>
          <w:sz w:val="21"/>
          <w:szCs w:val="21"/>
        </w:rPr>
      </w:pPr>
      <w:r>
        <w:rPr>
          <w:rFonts w:hint="eastAsia" w:ascii="微软雅黑 Light" w:hAnsi="微软雅黑 Light" w:eastAsia="微软雅黑 Light" w:cs="微软雅黑 Light"/>
          <w:kern w:val="0"/>
          <w:sz w:val="21"/>
          <w:szCs w:val="21"/>
        </w:rPr>
        <w:t>额定频率：50HZ；</w:t>
      </w:r>
    </w:p>
    <w:p w14:paraId="2CE5AA5C">
      <w:pPr>
        <w:numPr>
          <w:ilvl w:val="0"/>
          <w:numId w:val="43"/>
        </w:numPr>
        <w:spacing w:line="360" w:lineRule="auto"/>
        <w:ind w:left="845"/>
        <w:rPr>
          <w:rFonts w:hint="eastAsia" w:ascii="微软雅黑 Light" w:hAnsi="微软雅黑 Light" w:eastAsia="微软雅黑 Light" w:cs="微软雅黑 Light"/>
          <w:kern w:val="0"/>
          <w:sz w:val="21"/>
          <w:szCs w:val="21"/>
        </w:rPr>
      </w:pPr>
      <w:r>
        <w:rPr>
          <w:rFonts w:hint="eastAsia" w:ascii="微软雅黑 Light" w:hAnsi="微软雅黑 Light" w:eastAsia="微软雅黑 Light" w:cs="微软雅黑 Light"/>
          <w:kern w:val="0"/>
          <w:sz w:val="21"/>
          <w:szCs w:val="21"/>
        </w:rPr>
        <w:t>功率消耗：电压线路≤2W和10VA，电流线路≤0.6VA；</w:t>
      </w:r>
    </w:p>
    <w:p w14:paraId="42932CA7">
      <w:pPr>
        <w:numPr>
          <w:ilvl w:val="0"/>
          <w:numId w:val="43"/>
        </w:numPr>
        <w:spacing w:line="360" w:lineRule="auto"/>
        <w:ind w:left="845"/>
        <w:rPr>
          <w:rFonts w:hint="eastAsia" w:ascii="微软雅黑 Light" w:hAnsi="微软雅黑 Light" w:eastAsia="微软雅黑 Light" w:cs="微软雅黑 Light"/>
          <w:kern w:val="0"/>
          <w:sz w:val="21"/>
          <w:szCs w:val="21"/>
        </w:rPr>
      </w:pPr>
      <w:r>
        <w:rPr>
          <w:rFonts w:hint="eastAsia" w:ascii="微软雅黑 Light" w:hAnsi="微软雅黑 Light" w:eastAsia="微软雅黑 Light" w:cs="微软雅黑 Light"/>
          <w:kern w:val="0"/>
          <w:sz w:val="21"/>
          <w:szCs w:val="21"/>
        </w:rPr>
        <w:t>工作电压范围：70%Uｎ～120%Uｎ；</w:t>
      </w:r>
    </w:p>
    <w:p w14:paraId="74C9E57E">
      <w:pPr>
        <w:numPr>
          <w:ilvl w:val="0"/>
          <w:numId w:val="43"/>
        </w:numPr>
        <w:spacing w:line="360" w:lineRule="auto"/>
        <w:ind w:left="845"/>
        <w:rPr>
          <w:rFonts w:hint="eastAsia" w:ascii="微软雅黑 Light" w:hAnsi="微软雅黑 Light" w:eastAsia="微软雅黑 Light" w:cs="微软雅黑 Light"/>
          <w:kern w:val="0"/>
          <w:sz w:val="21"/>
          <w:szCs w:val="21"/>
        </w:rPr>
      </w:pPr>
      <w:r>
        <w:rPr>
          <w:rFonts w:hint="eastAsia" w:ascii="微软雅黑 Light" w:hAnsi="微软雅黑 Light" w:eastAsia="微软雅黑 Light" w:cs="微软雅黑 Light"/>
          <w:kern w:val="0"/>
          <w:sz w:val="21"/>
          <w:szCs w:val="21"/>
        </w:rPr>
        <w:t>工作温度：－30℃～＋50℃；</w:t>
      </w:r>
    </w:p>
    <w:p w14:paraId="2B059D5B">
      <w:pPr>
        <w:numPr>
          <w:ilvl w:val="0"/>
          <w:numId w:val="43"/>
        </w:numPr>
        <w:spacing w:line="360" w:lineRule="auto"/>
        <w:ind w:left="845"/>
        <w:rPr>
          <w:rFonts w:hint="eastAsia" w:ascii="微软雅黑 Light" w:hAnsi="微软雅黑 Light" w:eastAsia="微软雅黑 Light" w:cs="微软雅黑 Light"/>
          <w:kern w:val="0"/>
          <w:sz w:val="21"/>
          <w:szCs w:val="21"/>
        </w:rPr>
      </w:pPr>
      <w:r>
        <w:rPr>
          <w:rFonts w:hint="eastAsia" w:ascii="微软雅黑 Light" w:hAnsi="微软雅黑 Light" w:eastAsia="微软雅黑 Light" w:cs="微软雅黑 Light"/>
          <w:kern w:val="0"/>
          <w:sz w:val="21"/>
          <w:szCs w:val="21"/>
        </w:rPr>
        <w:t>极限工作温度：－40℃～＋60℃；</w:t>
      </w:r>
    </w:p>
    <w:p w14:paraId="15C4FB99">
      <w:pPr>
        <w:numPr>
          <w:ilvl w:val="0"/>
          <w:numId w:val="43"/>
        </w:numPr>
        <w:spacing w:line="360" w:lineRule="auto"/>
        <w:ind w:left="845"/>
        <w:rPr>
          <w:rFonts w:hint="eastAsia" w:ascii="微软雅黑 Light" w:hAnsi="微软雅黑 Light" w:eastAsia="微软雅黑 Light" w:cs="微软雅黑 Light"/>
          <w:kern w:val="0"/>
          <w:sz w:val="21"/>
          <w:szCs w:val="21"/>
        </w:rPr>
      </w:pPr>
      <w:r>
        <w:rPr>
          <w:rFonts w:hint="eastAsia" w:ascii="微软雅黑 Light" w:hAnsi="微软雅黑 Light" w:eastAsia="微软雅黑 Light" w:cs="微软雅黑 Light"/>
          <w:kern w:val="0"/>
          <w:sz w:val="21"/>
          <w:szCs w:val="21"/>
        </w:rPr>
        <w:t>相对湿度：≤85％。</w:t>
      </w:r>
    </w:p>
    <w:p w14:paraId="46E52111">
      <w:pPr>
        <w:spacing w:line="360" w:lineRule="auto"/>
        <w:rPr>
          <w:rFonts w:hint="eastAsia" w:ascii="微软雅黑 Light" w:hAnsi="微软雅黑 Light" w:eastAsia="微软雅黑 Light" w:cs="微软雅黑 Light"/>
          <w:b/>
          <w:color w:val="FF0000"/>
          <w:sz w:val="21"/>
          <w:szCs w:val="21"/>
        </w:rPr>
      </w:pPr>
      <w:r>
        <w:rPr>
          <w:rFonts w:hint="eastAsia" w:ascii="微软雅黑 Light" w:hAnsi="微软雅黑 Light" w:eastAsia="微软雅黑 Light" w:cs="微软雅黑 Light"/>
          <w:b/>
          <w:sz w:val="21"/>
          <w:szCs w:val="21"/>
        </w:rPr>
        <w:t>二、三相四线电子式电能表。</w:t>
      </w:r>
    </w:p>
    <w:p w14:paraId="369CD015">
      <w:pPr>
        <w:numPr>
          <w:ilvl w:val="0"/>
          <w:numId w:val="44"/>
        </w:numPr>
        <w:spacing w:line="360" w:lineRule="auto"/>
        <w:ind w:left="845"/>
        <w:rPr>
          <w:rFonts w:hint="eastAsia" w:ascii="微软雅黑 Light" w:hAnsi="微软雅黑 Light" w:eastAsia="微软雅黑 Light" w:cs="微软雅黑 Light"/>
          <w:kern w:val="0"/>
          <w:sz w:val="21"/>
          <w:szCs w:val="21"/>
        </w:rPr>
      </w:pPr>
      <w:r>
        <w:rPr>
          <w:rFonts w:hint="eastAsia" w:ascii="微软雅黑 Light" w:hAnsi="微软雅黑 Light" w:eastAsia="微软雅黑 Light" w:cs="微软雅黑 Light"/>
          <w:kern w:val="0"/>
          <w:sz w:val="21"/>
          <w:szCs w:val="21"/>
        </w:rPr>
        <w:t>电压、电流规格：3*220/380V,3*1.5(6)A；3*10(40)A ，3*15(60)A 3*20(80)A 3*30(100)A；</w:t>
      </w:r>
    </w:p>
    <w:p w14:paraId="13198262">
      <w:pPr>
        <w:numPr>
          <w:ilvl w:val="0"/>
          <w:numId w:val="44"/>
        </w:numPr>
        <w:spacing w:line="360" w:lineRule="auto"/>
        <w:ind w:left="845"/>
        <w:rPr>
          <w:rFonts w:hint="eastAsia" w:ascii="微软雅黑 Light" w:hAnsi="微软雅黑 Light" w:eastAsia="微软雅黑 Light" w:cs="微软雅黑 Light"/>
          <w:kern w:val="0"/>
          <w:sz w:val="21"/>
          <w:szCs w:val="21"/>
        </w:rPr>
      </w:pPr>
      <w:r>
        <w:rPr>
          <w:rFonts w:hint="eastAsia" w:ascii="微软雅黑 Light" w:hAnsi="微软雅黑 Light" w:eastAsia="微软雅黑 Light" w:cs="微软雅黑 Light"/>
          <w:kern w:val="0"/>
          <w:sz w:val="21"/>
          <w:szCs w:val="21"/>
        </w:rPr>
        <w:t>有功计量精度1.0级；</w:t>
      </w:r>
    </w:p>
    <w:p w14:paraId="7AF8DA65">
      <w:pPr>
        <w:numPr>
          <w:ilvl w:val="0"/>
          <w:numId w:val="44"/>
        </w:numPr>
        <w:spacing w:line="360" w:lineRule="auto"/>
        <w:ind w:left="845"/>
        <w:rPr>
          <w:rFonts w:hint="eastAsia" w:ascii="微软雅黑 Light" w:hAnsi="微软雅黑 Light" w:eastAsia="微软雅黑 Light" w:cs="微软雅黑 Light"/>
          <w:kern w:val="0"/>
          <w:sz w:val="21"/>
          <w:szCs w:val="21"/>
        </w:rPr>
      </w:pPr>
      <w:r>
        <w:rPr>
          <w:rFonts w:hint="eastAsia" w:ascii="微软雅黑 Light" w:hAnsi="微软雅黑 Light" w:eastAsia="微软雅黑 Light" w:cs="微软雅黑 Light"/>
          <w:kern w:val="0"/>
          <w:sz w:val="21"/>
          <w:szCs w:val="21"/>
        </w:rPr>
        <w:t>能正确计量正、反向有功电量；</w:t>
      </w:r>
    </w:p>
    <w:p w14:paraId="77D049B3">
      <w:pPr>
        <w:numPr>
          <w:ilvl w:val="0"/>
          <w:numId w:val="44"/>
        </w:numPr>
        <w:spacing w:line="360" w:lineRule="auto"/>
        <w:ind w:left="845"/>
        <w:rPr>
          <w:rFonts w:hint="eastAsia" w:ascii="微软雅黑 Light" w:hAnsi="微软雅黑 Light" w:eastAsia="微软雅黑 Light" w:cs="微软雅黑 Light"/>
          <w:kern w:val="0"/>
          <w:sz w:val="21"/>
          <w:szCs w:val="21"/>
        </w:rPr>
      </w:pPr>
      <w:r>
        <w:rPr>
          <w:rFonts w:hint="eastAsia" w:ascii="微软雅黑 Light" w:hAnsi="微软雅黑 Light" w:eastAsia="微软雅黑 Light" w:cs="微软雅黑 Light"/>
          <w:kern w:val="0"/>
          <w:sz w:val="21"/>
          <w:szCs w:val="21"/>
        </w:rPr>
        <w:t>具有RS485通信。RS485通信满足DT/L645-1997、DT/L645-2007、modbus要求；</w:t>
      </w:r>
    </w:p>
    <w:p w14:paraId="3230D5F7">
      <w:pPr>
        <w:numPr>
          <w:ilvl w:val="0"/>
          <w:numId w:val="44"/>
        </w:numPr>
        <w:spacing w:line="360" w:lineRule="auto"/>
        <w:ind w:left="845"/>
        <w:rPr>
          <w:rFonts w:hint="eastAsia" w:ascii="微软雅黑 Light" w:hAnsi="微软雅黑 Light" w:eastAsia="微软雅黑 Light" w:cs="微软雅黑 Light"/>
          <w:kern w:val="0"/>
          <w:sz w:val="21"/>
          <w:szCs w:val="21"/>
        </w:rPr>
      </w:pPr>
      <w:r>
        <w:rPr>
          <w:rFonts w:hint="eastAsia" w:ascii="微软雅黑 Light" w:hAnsi="微软雅黑 Light" w:eastAsia="微软雅黑 Light" w:cs="微软雅黑 Light"/>
          <w:kern w:val="0"/>
          <w:sz w:val="21"/>
          <w:szCs w:val="21"/>
        </w:rPr>
        <w:t>额定频率：50HZ；</w:t>
      </w:r>
    </w:p>
    <w:p w14:paraId="1CCD6ECA">
      <w:pPr>
        <w:numPr>
          <w:ilvl w:val="0"/>
          <w:numId w:val="44"/>
        </w:numPr>
        <w:spacing w:line="360" w:lineRule="auto"/>
        <w:ind w:left="845"/>
        <w:rPr>
          <w:rFonts w:hint="eastAsia" w:ascii="微软雅黑 Light" w:hAnsi="微软雅黑 Light" w:eastAsia="微软雅黑 Light" w:cs="微软雅黑 Light"/>
          <w:kern w:val="0"/>
          <w:sz w:val="21"/>
          <w:szCs w:val="21"/>
        </w:rPr>
      </w:pPr>
      <w:r>
        <w:rPr>
          <w:rFonts w:hint="eastAsia" w:ascii="微软雅黑 Light" w:hAnsi="微软雅黑 Light" w:eastAsia="微软雅黑 Light" w:cs="微软雅黑 Light"/>
          <w:kern w:val="0"/>
          <w:sz w:val="21"/>
          <w:szCs w:val="21"/>
        </w:rPr>
        <w:t>功率消耗：电压线路≤2W和10VA，电流线路≤0.6VA；</w:t>
      </w:r>
    </w:p>
    <w:p w14:paraId="4121D76A">
      <w:pPr>
        <w:numPr>
          <w:ilvl w:val="0"/>
          <w:numId w:val="44"/>
        </w:numPr>
        <w:spacing w:line="360" w:lineRule="auto"/>
        <w:ind w:left="845"/>
        <w:rPr>
          <w:rFonts w:hint="eastAsia" w:ascii="微软雅黑 Light" w:hAnsi="微软雅黑 Light" w:eastAsia="微软雅黑 Light" w:cs="微软雅黑 Light"/>
          <w:kern w:val="0"/>
          <w:sz w:val="21"/>
          <w:szCs w:val="21"/>
        </w:rPr>
      </w:pPr>
      <w:r>
        <w:rPr>
          <w:rFonts w:hint="eastAsia" w:ascii="微软雅黑 Light" w:hAnsi="微软雅黑 Light" w:eastAsia="微软雅黑 Light" w:cs="微软雅黑 Light"/>
          <w:kern w:val="0"/>
          <w:sz w:val="21"/>
          <w:szCs w:val="21"/>
        </w:rPr>
        <w:t>工作电压范围：70%Uｎ～120%Uｎ；</w:t>
      </w:r>
    </w:p>
    <w:p w14:paraId="5374A4E8">
      <w:pPr>
        <w:numPr>
          <w:ilvl w:val="0"/>
          <w:numId w:val="44"/>
        </w:numPr>
        <w:spacing w:line="360" w:lineRule="auto"/>
        <w:ind w:left="845"/>
        <w:rPr>
          <w:rFonts w:hint="eastAsia" w:ascii="微软雅黑 Light" w:hAnsi="微软雅黑 Light" w:eastAsia="微软雅黑 Light" w:cs="微软雅黑 Light"/>
          <w:kern w:val="0"/>
          <w:sz w:val="21"/>
          <w:szCs w:val="21"/>
        </w:rPr>
      </w:pPr>
      <w:r>
        <w:rPr>
          <w:rFonts w:hint="eastAsia" w:ascii="微软雅黑 Light" w:hAnsi="微软雅黑 Light" w:eastAsia="微软雅黑 Light" w:cs="微软雅黑 Light"/>
          <w:kern w:val="0"/>
          <w:sz w:val="21"/>
          <w:szCs w:val="21"/>
        </w:rPr>
        <w:t>工作温度：－30℃～＋50℃；</w:t>
      </w:r>
    </w:p>
    <w:p w14:paraId="344D2B39">
      <w:pPr>
        <w:numPr>
          <w:ilvl w:val="0"/>
          <w:numId w:val="44"/>
        </w:numPr>
        <w:spacing w:line="360" w:lineRule="auto"/>
        <w:ind w:left="845"/>
        <w:rPr>
          <w:rFonts w:hint="eastAsia" w:ascii="微软雅黑 Light" w:hAnsi="微软雅黑 Light" w:eastAsia="微软雅黑 Light" w:cs="微软雅黑 Light"/>
          <w:kern w:val="0"/>
          <w:sz w:val="21"/>
          <w:szCs w:val="21"/>
        </w:rPr>
      </w:pPr>
      <w:r>
        <w:rPr>
          <w:rFonts w:hint="eastAsia" w:ascii="微软雅黑 Light" w:hAnsi="微软雅黑 Light" w:eastAsia="微软雅黑 Light" w:cs="微软雅黑 Light"/>
          <w:kern w:val="0"/>
          <w:sz w:val="21"/>
          <w:szCs w:val="21"/>
        </w:rPr>
        <w:t>极限工作温度：－40℃～＋60℃；</w:t>
      </w:r>
    </w:p>
    <w:p w14:paraId="73DB3030">
      <w:pPr>
        <w:numPr>
          <w:ilvl w:val="0"/>
          <w:numId w:val="44"/>
        </w:numPr>
        <w:spacing w:line="360" w:lineRule="auto"/>
        <w:ind w:left="845"/>
        <w:rPr>
          <w:rFonts w:hint="eastAsia" w:ascii="微软雅黑 Light" w:hAnsi="微软雅黑 Light" w:eastAsia="微软雅黑 Light" w:cs="微软雅黑 Light"/>
          <w:kern w:val="0"/>
          <w:sz w:val="21"/>
          <w:szCs w:val="21"/>
        </w:rPr>
      </w:pPr>
      <w:r>
        <w:rPr>
          <w:rFonts w:hint="eastAsia" w:ascii="微软雅黑 Light" w:hAnsi="微软雅黑 Light" w:eastAsia="微软雅黑 Light" w:cs="微软雅黑 Light"/>
          <w:kern w:val="0"/>
          <w:sz w:val="21"/>
          <w:szCs w:val="21"/>
        </w:rPr>
        <w:t>相对湿度：≤85％</w:t>
      </w:r>
    </w:p>
    <w:p w14:paraId="6063558C">
      <w:p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b/>
          <w:sz w:val="21"/>
          <w:szCs w:val="21"/>
        </w:rPr>
        <w:t>三、单相电子式电能表</w:t>
      </w:r>
    </w:p>
    <w:p w14:paraId="1D7A1296">
      <w:pPr>
        <w:numPr>
          <w:ilvl w:val="0"/>
          <w:numId w:val="45"/>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电压、电流规格： 220V， 10(40)A、15(60)A；</w:t>
      </w:r>
    </w:p>
    <w:p w14:paraId="749D490B">
      <w:pPr>
        <w:numPr>
          <w:ilvl w:val="0"/>
          <w:numId w:val="45"/>
        </w:numPr>
        <w:spacing w:line="360" w:lineRule="auto"/>
        <w:ind w:left="845"/>
        <w:rPr>
          <w:rFonts w:hint="eastAsia" w:ascii="微软雅黑 Light" w:hAnsi="微软雅黑 Light" w:eastAsia="微软雅黑 Light" w:cs="微软雅黑 Light"/>
          <w:kern w:val="0"/>
          <w:sz w:val="21"/>
          <w:szCs w:val="21"/>
        </w:rPr>
      </w:pPr>
      <w:r>
        <w:rPr>
          <w:rFonts w:hint="eastAsia" w:ascii="微软雅黑 Light" w:hAnsi="微软雅黑 Light" w:eastAsia="微软雅黑 Light" w:cs="微软雅黑 Light"/>
          <w:sz w:val="21"/>
          <w:szCs w:val="21"/>
        </w:rPr>
        <w:t>单相</w:t>
      </w:r>
      <w:r>
        <w:rPr>
          <w:rFonts w:hint="eastAsia" w:ascii="微软雅黑 Light" w:hAnsi="微软雅黑 Light" w:eastAsia="微软雅黑 Light" w:cs="微软雅黑 Light"/>
          <w:kern w:val="0"/>
          <w:sz w:val="21"/>
          <w:szCs w:val="21"/>
        </w:rPr>
        <w:t>电能表有功计量精度1级</w:t>
      </w:r>
    </w:p>
    <w:p w14:paraId="16FC75B2">
      <w:pPr>
        <w:numPr>
          <w:ilvl w:val="0"/>
          <w:numId w:val="45"/>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具有RS485接口，RS485通信要满足DT/L645-1997、DT/L645-2007、modbus要求，红外接口的电气和机械性能应满足DL/T 645中的相关要求；</w:t>
      </w:r>
    </w:p>
    <w:p w14:paraId="5A29220B">
      <w:pPr>
        <w:numPr>
          <w:ilvl w:val="0"/>
          <w:numId w:val="45"/>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额定频率：50HZ；</w:t>
      </w:r>
    </w:p>
    <w:p w14:paraId="178AB550">
      <w:pPr>
        <w:numPr>
          <w:ilvl w:val="0"/>
          <w:numId w:val="45"/>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功率消耗：电压线路≤2W和10VA，电流线路≤0.6VA；</w:t>
      </w:r>
    </w:p>
    <w:p w14:paraId="40078D42">
      <w:pPr>
        <w:numPr>
          <w:ilvl w:val="0"/>
          <w:numId w:val="45"/>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工作电压范围：70%Uｎ~120%Uｎ；</w:t>
      </w:r>
    </w:p>
    <w:p w14:paraId="720BD255">
      <w:pPr>
        <w:numPr>
          <w:ilvl w:val="0"/>
          <w:numId w:val="45"/>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工作温度：－30℃～＋50℃；</w:t>
      </w:r>
    </w:p>
    <w:p w14:paraId="0C717129">
      <w:pPr>
        <w:numPr>
          <w:ilvl w:val="0"/>
          <w:numId w:val="45"/>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极限工作温度：－40℃～＋60℃；</w:t>
      </w:r>
    </w:p>
    <w:p w14:paraId="481A1D4B">
      <w:pPr>
        <w:numPr>
          <w:ilvl w:val="0"/>
          <w:numId w:val="45"/>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相对湿度：≤85％；</w:t>
      </w:r>
    </w:p>
    <w:p w14:paraId="7C894CF6">
      <w:pPr>
        <w:pStyle w:val="4"/>
        <w:bidi w:val="0"/>
        <w:rPr>
          <w:rFonts w:hint="eastAsia"/>
        </w:rPr>
      </w:pPr>
      <w:bookmarkStart w:id="161" w:name="_Toc27449"/>
      <w:bookmarkStart w:id="162" w:name="_Toc17311"/>
      <w:r>
        <w:rPr>
          <w:rFonts w:hint="eastAsia"/>
        </w:rPr>
        <w:t>5.1.2能耗数据采集终端</w:t>
      </w:r>
      <w:bookmarkEnd w:id="161"/>
      <w:bookmarkEnd w:id="162"/>
    </w:p>
    <w:p w14:paraId="7D80A991">
      <w:pPr>
        <w:jc w:val="center"/>
        <w:rPr>
          <w:rFonts w:hint="eastAsia" w:ascii="微软雅黑 Light" w:hAnsi="微软雅黑 Light" w:eastAsia="微软雅黑 Light" w:cs="微软雅黑 Light"/>
          <w:sz w:val="21"/>
          <w:szCs w:val="21"/>
          <w:lang w:eastAsia="zh-CN"/>
        </w:rPr>
      </w:pPr>
      <w:r>
        <w:rPr>
          <w:rFonts w:hint="eastAsia" w:ascii="微软雅黑 Light" w:hAnsi="微软雅黑 Light" w:eastAsia="微软雅黑 Light" w:cs="微软雅黑 Light"/>
          <w:sz w:val="21"/>
          <w:szCs w:val="21"/>
          <w:lang w:eastAsia="zh-CN"/>
        </w:rPr>
        <w:drawing>
          <wp:inline distT="0" distB="0" distL="114300" distR="114300">
            <wp:extent cx="5514340" cy="3295650"/>
            <wp:effectExtent l="0" t="0" r="10160" b="0"/>
            <wp:docPr id="46" name="图片 64" descr="5W8A36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64" descr="5W8A3607-1"/>
                    <pic:cNvPicPr>
                      <a:picLocks noChangeAspect="1"/>
                    </pic:cNvPicPr>
                  </pic:nvPicPr>
                  <pic:blipFill>
                    <a:blip r:embed="rId59"/>
                    <a:srcRect l="27097" t="30246" r="25682" b="27345"/>
                    <a:stretch>
                      <a:fillRect/>
                    </a:stretch>
                  </pic:blipFill>
                  <pic:spPr>
                    <a:xfrm>
                      <a:off x="0" y="0"/>
                      <a:ext cx="5514340" cy="3295650"/>
                    </a:xfrm>
                    <a:prstGeom prst="rect">
                      <a:avLst/>
                    </a:prstGeom>
                    <a:noFill/>
                    <a:ln>
                      <a:noFill/>
                    </a:ln>
                  </pic:spPr>
                </pic:pic>
              </a:graphicData>
            </a:graphic>
          </wp:inline>
        </w:drawing>
      </w:r>
    </w:p>
    <w:p w14:paraId="0637071B">
      <w:pPr>
        <w:jc w:val="center"/>
        <w:rPr>
          <w:rFonts w:hint="eastAsia" w:ascii="微软雅黑 Light" w:hAnsi="微软雅黑 Light" w:cs="微软雅黑 Light"/>
          <w:sz w:val="21"/>
          <w:szCs w:val="21"/>
          <w:lang w:val="en-US" w:eastAsia="zh-CN"/>
        </w:rPr>
      </w:pPr>
      <w:r>
        <w:rPr>
          <w:rFonts w:hint="eastAsia" w:ascii="微软雅黑 Light" w:hAnsi="微软雅黑 Light" w:eastAsia="微软雅黑 Light" w:cs="微软雅黑 Light"/>
          <w:sz w:val="21"/>
          <w:szCs w:val="21"/>
        </w:rPr>
        <w:t>图5-2数据采集终端</w:t>
      </w:r>
      <w:r>
        <w:rPr>
          <w:rFonts w:hint="eastAsia" w:ascii="微软雅黑 Light" w:hAnsi="微软雅黑 Light" w:cs="微软雅黑 Light"/>
          <w:sz w:val="21"/>
          <w:szCs w:val="21"/>
          <w:lang w:val="en-US" w:eastAsia="zh-CN"/>
        </w:rPr>
        <w:t>SG-I</w:t>
      </w:r>
    </w:p>
    <w:p w14:paraId="0D897A7A">
      <w:pPr>
        <w:jc w:val="center"/>
        <w:rPr>
          <w:rFonts w:hint="default" w:ascii="微软雅黑 Light" w:hAnsi="微软雅黑 Light" w:cs="微软雅黑 Light"/>
          <w:sz w:val="21"/>
          <w:szCs w:val="21"/>
          <w:lang w:val="en-US" w:eastAsia="zh-CN"/>
        </w:rPr>
      </w:pPr>
      <w:r>
        <w:rPr>
          <w:rFonts w:hint="default" w:ascii="微软雅黑 Light" w:hAnsi="微软雅黑 Light" w:cs="微软雅黑 Light"/>
          <w:sz w:val="21"/>
          <w:szCs w:val="21"/>
          <w:lang w:val="en-US" w:eastAsia="zh-CN"/>
        </w:rPr>
        <w:drawing>
          <wp:inline distT="0" distB="0" distL="114300" distR="114300">
            <wp:extent cx="5798820" cy="1639570"/>
            <wp:effectExtent l="0" t="0" r="11430" b="17780"/>
            <wp:docPr id="47" name="图片 65" descr="SG-I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65" descr="SG-III"/>
                    <pic:cNvPicPr>
                      <a:picLocks noChangeAspect="1"/>
                    </pic:cNvPicPr>
                  </pic:nvPicPr>
                  <pic:blipFill>
                    <a:blip r:embed="rId60"/>
                    <a:srcRect t="28398" b="33904"/>
                    <a:stretch>
                      <a:fillRect/>
                    </a:stretch>
                  </pic:blipFill>
                  <pic:spPr>
                    <a:xfrm>
                      <a:off x="0" y="0"/>
                      <a:ext cx="5798820" cy="1639570"/>
                    </a:xfrm>
                    <a:prstGeom prst="rect">
                      <a:avLst/>
                    </a:prstGeom>
                    <a:noFill/>
                    <a:ln>
                      <a:noFill/>
                    </a:ln>
                  </pic:spPr>
                </pic:pic>
              </a:graphicData>
            </a:graphic>
          </wp:inline>
        </w:drawing>
      </w:r>
    </w:p>
    <w:p w14:paraId="274EEAD5">
      <w:pPr>
        <w:jc w:val="center"/>
        <w:rPr>
          <w:rFonts w:hint="eastAsia" w:ascii="微软雅黑 Light" w:hAnsi="微软雅黑 Light" w:cs="微软雅黑 Light"/>
          <w:sz w:val="21"/>
          <w:szCs w:val="21"/>
          <w:lang w:val="en-US" w:eastAsia="zh-CN"/>
        </w:rPr>
      </w:pPr>
      <w:r>
        <w:rPr>
          <w:rFonts w:hint="eastAsia" w:ascii="微软雅黑 Light" w:hAnsi="微软雅黑 Light" w:eastAsia="微软雅黑 Light" w:cs="微软雅黑 Light"/>
          <w:sz w:val="21"/>
          <w:szCs w:val="21"/>
        </w:rPr>
        <w:t>图5-</w:t>
      </w:r>
      <w:r>
        <w:rPr>
          <w:rFonts w:hint="eastAsia" w:ascii="微软雅黑 Light" w:hAnsi="微软雅黑 Light" w:cs="微软雅黑 Light"/>
          <w:sz w:val="21"/>
          <w:szCs w:val="21"/>
          <w:lang w:val="en-US" w:eastAsia="zh-CN"/>
        </w:rPr>
        <w:t>3</w:t>
      </w:r>
      <w:r>
        <w:rPr>
          <w:rFonts w:hint="eastAsia" w:ascii="微软雅黑 Light" w:hAnsi="微软雅黑 Light" w:eastAsia="微软雅黑 Light" w:cs="微软雅黑 Light"/>
          <w:sz w:val="21"/>
          <w:szCs w:val="21"/>
        </w:rPr>
        <w:t>数据采集终端</w:t>
      </w:r>
      <w:r>
        <w:rPr>
          <w:rFonts w:hint="eastAsia" w:ascii="微软雅黑 Light" w:hAnsi="微软雅黑 Light" w:cs="微软雅黑 Light"/>
          <w:sz w:val="21"/>
          <w:szCs w:val="21"/>
          <w:lang w:val="en-US" w:eastAsia="zh-CN"/>
        </w:rPr>
        <w:t>SG-III</w:t>
      </w:r>
    </w:p>
    <w:p w14:paraId="4678E6DF">
      <w:pPr>
        <w:jc w:val="center"/>
        <w:rPr>
          <w:rFonts w:hint="default" w:ascii="微软雅黑 Light" w:hAnsi="微软雅黑 Light" w:cs="微软雅黑 Light"/>
          <w:sz w:val="21"/>
          <w:szCs w:val="21"/>
          <w:lang w:val="en-US" w:eastAsia="zh-CN"/>
        </w:rPr>
      </w:pPr>
    </w:p>
    <w:p w14:paraId="40FBC980">
      <w:pPr>
        <w:jc w:val="center"/>
        <w:rPr>
          <w:rFonts w:hint="eastAsia" w:ascii="微软雅黑 Light" w:hAnsi="微软雅黑 Light" w:eastAsia="微软雅黑 Light" w:cs="微软雅黑 Light"/>
          <w:sz w:val="21"/>
          <w:szCs w:val="21"/>
        </w:rPr>
      </w:pPr>
    </w:p>
    <w:p w14:paraId="57932B74">
      <w:pPr>
        <w:numPr>
          <w:ilvl w:val="0"/>
          <w:numId w:val="46"/>
        </w:num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强大的硬件：</w:t>
      </w:r>
    </w:p>
    <w:p w14:paraId="7F20F224">
      <w:pPr>
        <w:numPr>
          <w:ilvl w:val="0"/>
          <w:numId w:val="47"/>
        </w:numPr>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 xml:space="preserve">高速的 ARM9 </w:t>
      </w:r>
      <w:r>
        <w:rPr>
          <w:rFonts w:hint="eastAsia" w:ascii="微软雅黑 Light" w:hAnsi="微软雅黑 Light" w:cs="微软雅黑 Light"/>
          <w:sz w:val="21"/>
          <w:szCs w:val="21"/>
          <w:lang w:val="en-US" w:eastAsia="zh-CN"/>
        </w:rPr>
        <w:t>/AARCH64</w:t>
      </w:r>
      <w:r>
        <w:rPr>
          <w:rFonts w:hint="eastAsia" w:ascii="微软雅黑 Light" w:hAnsi="微软雅黑 Light" w:eastAsia="微软雅黑 Light" w:cs="微软雅黑 Light"/>
          <w:sz w:val="21"/>
          <w:szCs w:val="21"/>
        </w:rPr>
        <w:t>处理器；</w:t>
      </w:r>
    </w:p>
    <w:p w14:paraId="42C54479">
      <w:pPr>
        <w:numPr>
          <w:ilvl w:val="0"/>
          <w:numId w:val="47"/>
        </w:numPr>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10/100M</w:t>
      </w:r>
      <w:r>
        <w:rPr>
          <w:rFonts w:hint="eastAsia" w:ascii="微软雅黑 Light" w:hAnsi="微软雅黑 Light" w:cs="微软雅黑 Light"/>
          <w:sz w:val="21"/>
          <w:szCs w:val="21"/>
          <w:lang w:val="en-US" w:eastAsia="zh-CN"/>
        </w:rPr>
        <w:t>/1000M</w:t>
      </w:r>
      <w:r>
        <w:rPr>
          <w:rFonts w:hint="eastAsia" w:ascii="微软雅黑 Light" w:hAnsi="微软雅黑 Light" w:eastAsia="微软雅黑 Light" w:cs="微软雅黑 Light"/>
          <w:sz w:val="21"/>
          <w:szCs w:val="21"/>
        </w:rPr>
        <w:t xml:space="preserve"> 自适应以太网接口，2KV 电磁隔离；</w:t>
      </w:r>
    </w:p>
    <w:p w14:paraId="1BF63805">
      <w:pPr>
        <w:numPr>
          <w:ilvl w:val="0"/>
          <w:numId w:val="47"/>
        </w:numPr>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cs="微软雅黑 Light"/>
          <w:sz w:val="21"/>
          <w:szCs w:val="21"/>
          <w:lang w:val="en-US" w:eastAsia="zh-CN"/>
        </w:rPr>
        <w:t>可选择4G网络通讯或者双通道传输；</w:t>
      </w:r>
    </w:p>
    <w:p w14:paraId="75094CA7">
      <w:pPr>
        <w:numPr>
          <w:ilvl w:val="0"/>
          <w:numId w:val="47"/>
        </w:numPr>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支持静态或动态 IP 获取；</w:t>
      </w:r>
    </w:p>
    <w:p w14:paraId="1F281A40">
      <w:pPr>
        <w:numPr>
          <w:ilvl w:val="0"/>
          <w:numId w:val="47"/>
        </w:numPr>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独立的 Console 串口，RS232 电平；</w:t>
      </w:r>
    </w:p>
    <w:p w14:paraId="74CDDC00">
      <w:pPr>
        <w:numPr>
          <w:ilvl w:val="0"/>
          <w:numId w:val="47"/>
        </w:numPr>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4~8 个 RS-485 工作串口，15KV ESD 保护；</w:t>
      </w:r>
    </w:p>
    <w:p w14:paraId="2622D375">
      <w:pPr>
        <w:numPr>
          <w:ilvl w:val="0"/>
          <w:numId w:val="47"/>
        </w:numPr>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RS-485 工作串口的波特率： 1200~115200bps；</w:t>
      </w:r>
    </w:p>
    <w:p w14:paraId="6E52CE42">
      <w:pPr>
        <w:numPr>
          <w:ilvl w:val="0"/>
          <w:numId w:val="47"/>
        </w:numPr>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RS-485 工作串口的校验为：无、奇、偶可设定；</w:t>
      </w:r>
    </w:p>
    <w:p w14:paraId="673F0A1E">
      <w:pPr>
        <w:numPr>
          <w:ilvl w:val="0"/>
          <w:numId w:val="47"/>
        </w:numPr>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RS-485 工作串口的数据位：7、8、9可设定；</w:t>
      </w:r>
    </w:p>
    <w:p w14:paraId="60F8AD13">
      <w:pPr>
        <w:numPr>
          <w:ilvl w:val="0"/>
          <w:numId w:val="47"/>
        </w:numPr>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高精度 RTC；</w:t>
      </w:r>
    </w:p>
    <w:p w14:paraId="44AE8A3A">
      <w:pPr>
        <w:numPr>
          <w:ilvl w:val="0"/>
          <w:numId w:val="47"/>
        </w:numPr>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内嵌大容量存储介质(2GB)，支持 FAT16、FAT32 文件系统；</w:t>
      </w:r>
    </w:p>
    <w:p w14:paraId="5F2A5E1F">
      <w:pPr>
        <w:numPr>
          <w:ilvl w:val="0"/>
          <w:numId w:val="47"/>
        </w:numPr>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内置硬件看门狗；</w:t>
      </w:r>
    </w:p>
    <w:p w14:paraId="7C42A769">
      <w:pPr>
        <w:numPr>
          <w:ilvl w:val="0"/>
          <w:numId w:val="47"/>
        </w:numPr>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硬件恢复缺省网络参数；</w:t>
      </w:r>
    </w:p>
    <w:p w14:paraId="63F3938C">
      <w:pPr>
        <w:numPr>
          <w:ilvl w:val="0"/>
          <w:numId w:val="47"/>
        </w:numPr>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电压范围 9V～24V 直流；</w:t>
      </w:r>
    </w:p>
    <w:p w14:paraId="271CA56C">
      <w:pPr>
        <w:numPr>
          <w:ilvl w:val="0"/>
          <w:numId w:val="47"/>
        </w:numPr>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系统功耗低，全速允许功耗小于 8W；</w:t>
      </w:r>
    </w:p>
    <w:p w14:paraId="55B026F4">
      <w:pPr>
        <w:numPr>
          <w:ilvl w:val="0"/>
          <w:numId w:val="47"/>
        </w:numPr>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工作温度：-20～70℃；</w:t>
      </w:r>
    </w:p>
    <w:p w14:paraId="00DE3CC0">
      <w:pPr>
        <w:numPr>
          <w:ilvl w:val="0"/>
          <w:numId w:val="47"/>
        </w:numPr>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湿度：5% - 95% RH，无凝露；</w:t>
      </w:r>
    </w:p>
    <w:p w14:paraId="1369CAF1">
      <w:pPr>
        <w:numPr>
          <w:ilvl w:val="0"/>
          <w:numId w:val="47"/>
        </w:numPr>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坚固的金属外壳；</w:t>
      </w:r>
    </w:p>
    <w:p w14:paraId="754D783B">
      <w:pPr>
        <w:numPr>
          <w:ilvl w:val="0"/>
          <w:numId w:val="47"/>
        </w:numPr>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专为工业环境设计，提供轨道附件（DIN rail ）；</w:t>
      </w:r>
    </w:p>
    <w:p w14:paraId="036D91E0">
      <w:pPr>
        <w:numPr>
          <w:ilvl w:val="0"/>
          <w:numId w:val="46"/>
        </w:num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完善的功能：</w:t>
      </w:r>
    </w:p>
    <w:p w14:paraId="3EF39A19">
      <w:pPr>
        <w:numPr>
          <w:ilvl w:val="0"/>
          <w:numId w:val="47"/>
        </w:numPr>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自动恢复网络连接，建立可靠的 TCP 连接；</w:t>
      </w:r>
    </w:p>
    <w:p w14:paraId="00D0B42B">
      <w:pPr>
        <w:numPr>
          <w:ilvl w:val="0"/>
          <w:numId w:val="47"/>
        </w:numPr>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支持同时与 4 个服务器连接和通信的功能；</w:t>
      </w:r>
    </w:p>
    <w:p w14:paraId="2159135A">
      <w:pPr>
        <w:numPr>
          <w:ilvl w:val="0"/>
          <w:numId w:val="47"/>
        </w:numPr>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RS485 串口波特率可设置为 1200~115200bps 之间的常用值；</w:t>
      </w:r>
    </w:p>
    <w:p w14:paraId="5EC42C5F">
      <w:pPr>
        <w:numPr>
          <w:ilvl w:val="0"/>
          <w:numId w:val="47"/>
        </w:numPr>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支持对多种类型用能计量装置的数据采集，包括电能表（含单相电能表、三相电能表、多功能电能表）、电力监测仪、电量计测模块，水表、燃气表、 冷热量计、流量计等；</w:t>
      </w:r>
    </w:p>
    <w:p w14:paraId="62ADAD67">
      <w:pPr>
        <w:numPr>
          <w:ilvl w:val="0"/>
          <w:numId w:val="47"/>
        </w:numPr>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支持多种仪表通信协议，包括 Modbus-RTU  协议、多功能电能表通信规约DL/T 645—1997、CJ/T 188-2004 协议等；</w:t>
      </w:r>
    </w:p>
    <w:p w14:paraId="654A3FD1">
      <w:pPr>
        <w:numPr>
          <w:ilvl w:val="0"/>
          <w:numId w:val="47"/>
        </w:numPr>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至少支持 128 台 600 个采集点的数据采集；</w:t>
      </w:r>
    </w:p>
    <w:p w14:paraId="6516BC0B">
      <w:pPr>
        <w:numPr>
          <w:ilvl w:val="0"/>
          <w:numId w:val="47"/>
        </w:numPr>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支持根据数据中心命令采集和主动定时采集两种数据采集模式，且采集周期可从 1 分钟至 2 小时灵活配置；</w:t>
      </w:r>
    </w:p>
    <w:p w14:paraId="3E9D6DC9">
      <w:pPr>
        <w:numPr>
          <w:ilvl w:val="0"/>
          <w:numId w:val="47"/>
        </w:numPr>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拥有2GB专用存储空间支持至少 3 个月以上的用能数据备份；</w:t>
      </w:r>
    </w:p>
    <w:p w14:paraId="748C8B4A">
      <w:pPr>
        <w:numPr>
          <w:ilvl w:val="0"/>
          <w:numId w:val="47"/>
        </w:numPr>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支持断点续传功能，由于传输网络故障等因素未能及时将采集的能耗数据定时远传，待传输网络恢复正常后数据采集器可将采集的历史能耗数据实现断点续传；</w:t>
      </w:r>
    </w:p>
    <w:p w14:paraId="3FB7A47C">
      <w:pPr>
        <w:numPr>
          <w:ilvl w:val="0"/>
          <w:numId w:val="47"/>
        </w:numPr>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支持对数据采集系统故障的定位和诊断，并支持向数据中心上报故障信息的功能；</w:t>
      </w:r>
    </w:p>
    <w:p w14:paraId="11FB27A5">
      <w:pPr>
        <w:numPr>
          <w:ilvl w:val="0"/>
          <w:numId w:val="47"/>
        </w:numPr>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配套可视化的数据服务与管理软件；</w:t>
      </w:r>
    </w:p>
    <w:p w14:paraId="136C1324">
      <w:pPr>
        <w:numPr>
          <w:ilvl w:val="0"/>
          <w:numId w:val="47"/>
        </w:numPr>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除上述功能外，还符合《国家机关办公建筑和大型公共建筑能耗监测系统》技术导则对数据采集器的其他功能要求。</w:t>
      </w:r>
    </w:p>
    <w:p w14:paraId="7C9827A1">
      <w:pPr>
        <w:numPr>
          <w:ilvl w:val="0"/>
          <w:numId w:val="46"/>
        </w:num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灵活的配置方式</w:t>
      </w:r>
    </w:p>
    <w:p w14:paraId="478B8A23">
      <w:pPr>
        <w:numPr>
          <w:ilvl w:val="0"/>
          <w:numId w:val="47"/>
        </w:numPr>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可通过 WEB 浏览器配置系统和运行参数；</w:t>
      </w:r>
    </w:p>
    <w:p w14:paraId="2E7A1AFB">
      <w:pPr>
        <w:numPr>
          <w:ilvl w:val="0"/>
          <w:numId w:val="47"/>
        </w:numPr>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可通过超级终端通过独立的 Console 串口配置系统和运行参数；</w:t>
      </w:r>
    </w:p>
    <w:p w14:paraId="60893CFA">
      <w:pPr>
        <w:numPr>
          <w:ilvl w:val="0"/>
          <w:numId w:val="47"/>
        </w:numPr>
        <w:spacing w:line="360" w:lineRule="auto"/>
        <w:ind w:left="84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可通过 数据采集管理软件配置系统和运行参数；</w:t>
      </w:r>
    </w:p>
    <w:p w14:paraId="34583DF5">
      <w:pPr>
        <w:pStyle w:val="4"/>
        <w:bidi w:val="0"/>
        <w:rPr>
          <w:rFonts w:hint="eastAsia"/>
        </w:rPr>
      </w:pPr>
      <w:bookmarkStart w:id="163" w:name="_Toc26311"/>
      <w:bookmarkStart w:id="164" w:name="_Toc17519"/>
      <w:r>
        <w:rPr>
          <w:rFonts w:hint="eastAsia"/>
        </w:rPr>
        <w:t>5.1.</w:t>
      </w:r>
      <w:bookmarkEnd w:id="163"/>
      <w:r>
        <w:rPr>
          <w:rFonts w:hint="eastAsia"/>
        </w:rPr>
        <w:t>3冷（热）量计</w:t>
      </w:r>
      <w:bookmarkEnd w:id="164"/>
    </w:p>
    <w:p w14:paraId="05575275">
      <w:pPr>
        <w:numPr>
          <w:ilvl w:val="0"/>
          <w:numId w:val="48"/>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计量准确度等级达到计量2级；</w:t>
      </w:r>
    </w:p>
    <w:p w14:paraId="793C3C4D">
      <w:pPr>
        <w:numPr>
          <w:ilvl w:val="0"/>
          <w:numId w:val="48"/>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通信接口形式为RS-485接口，采用M-BUS协议或符合《户用计量仪表数据传输技术条件》CJ/T 188的规定；</w:t>
      </w:r>
    </w:p>
    <w:p w14:paraId="38E8AC9B">
      <w:pPr>
        <w:numPr>
          <w:ilvl w:val="0"/>
          <w:numId w:val="48"/>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具有断电数据保护功能，当电源停止供电时，冷热量计表能保存所有数据，回复供电后，能够回复正常计量功能；</w:t>
      </w:r>
    </w:p>
    <w:p w14:paraId="23B8FB7D">
      <w:pPr>
        <w:numPr>
          <w:ilvl w:val="0"/>
          <w:numId w:val="48"/>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技术参数：</w:t>
      </w:r>
    </w:p>
    <w:p w14:paraId="21FD1C1C">
      <w:pPr>
        <w:spacing w:line="360" w:lineRule="auto"/>
        <w:ind w:firstLine="743" w:firstLineChars="354"/>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温度测量范围：0～90℃，分辨率0.01℃；</w:t>
      </w:r>
    </w:p>
    <w:p w14:paraId="645D5CA3">
      <w:pPr>
        <w:spacing w:line="360" w:lineRule="auto"/>
        <w:ind w:firstLine="743" w:firstLineChars="354"/>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温差范围：4～95℃；</w:t>
      </w:r>
    </w:p>
    <w:p w14:paraId="37A61BE9">
      <w:pPr>
        <w:spacing w:line="360" w:lineRule="auto"/>
        <w:ind w:firstLine="743" w:firstLineChars="354"/>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监测参数：供回水温度、累积流量、累积计冷（热）量、瞬时流量等；</w:t>
      </w:r>
    </w:p>
    <w:p w14:paraId="05BF25F0">
      <w:pPr>
        <w:spacing w:line="360" w:lineRule="auto"/>
        <w:ind w:firstLine="743" w:firstLineChars="354"/>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使用环境温度：0℃～＋50℃；</w:t>
      </w:r>
    </w:p>
    <w:p w14:paraId="66EE2DB9">
      <w:pPr>
        <w:spacing w:line="360" w:lineRule="auto"/>
        <w:ind w:firstLine="743" w:firstLineChars="354"/>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相对湿度：≤90％RH（无结露）；</w:t>
      </w:r>
    </w:p>
    <w:p w14:paraId="41F0D89F">
      <w:pPr>
        <w:spacing w:line="360" w:lineRule="auto"/>
        <w:ind w:firstLine="743" w:firstLineChars="354"/>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配对温度传感器安装处供水和回水管道相距15m以内，超过15m有补偿措施；</w:t>
      </w:r>
    </w:p>
    <w:p w14:paraId="13BAD013">
      <w:pPr>
        <w:spacing w:line="360" w:lineRule="auto"/>
        <w:ind w:firstLine="743" w:firstLineChars="354"/>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热量表积算器加配对温度传感器的总误差≤ 0.1℃；</w:t>
      </w:r>
    </w:p>
    <w:p w14:paraId="07D0AFE9">
      <w:pPr>
        <w:spacing w:line="360" w:lineRule="auto"/>
        <w:ind w:firstLine="743" w:firstLineChars="354"/>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输入流量脉冲周期≥ 0.1s；</w:t>
      </w:r>
    </w:p>
    <w:p w14:paraId="1EA67397">
      <w:pPr>
        <w:spacing w:line="360" w:lineRule="auto"/>
        <w:ind w:firstLine="743" w:firstLineChars="354"/>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供电电源：AC220V，50Hz；</w:t>
      </w:r>
    </w:p>
    <w:p w14:paraId="02DCDCAA">
      <w:pPr>
        <w:pStyle w:val="3"/>
        <w:numPr>
          <w:ilvl w:val="1"/>
          <w:numId w:val="49"/>
        </w:numPr>
        <w:tabs>
          <w:tab w:val="clear" w:pos="630"/>
        </w:tabs>
        <w:spacing w:line="360" w:lineRule="auto"/>
        <w:ind w:left="0" w:firstLine="0"/>
        <w:rPr>
          <w:rFonts w:hint="eastAsia" w:ascii="微软雅黑 Light" w:hAnsi="微软雅黑 Light" w:eastAsia="微软雅黑 Light" w:cs="微软雅黑 Light"/>
          <w:sz w:val="21"/>
          <w:szCs w:val="21"/>
        </w:rPr>
      </w:pPr>
      <w:bookmarkStart w:id="165" w:name="_Toc3077"/>
      <w:bookmarkStart w:id="166" w:name="_Toc12020"/>
      <w:r>
        <w:rPr>
          <w:rFonts w:hint="eastAsia" w:ascii="微软雅黑 Light" w:hAnsi="微软雅黑 Light" w:eastAsia="微软雅黑 Light" w:cs="微软雅黑 Light"/>
          <w:sz w:val="21"/>
          <w:szCs w:val="21"/>
          <w:lang w:eastAsia="zh-CN"/>
        </w:rPr>
        <w:t>建筑能耗管理</w:t>
      </w:r>
      <w:r>
        <w:rPr>
          <w:rFonts w:hint="eastAsia" w:ascii="微软雅黑 Light" w:hAnsi="微软雅黑 Light" w:eastAsia="微软雅黑 Light" w:cs="微软雅黑 Light"/>
          <w:sz w:val="21"/>
          <w:szCs w:val="21"/>
        </w:rPr>
        <w:t>系统监控中心</w:t>
      </w:r>
      <w:bookmarkEnd w:id="165"/>
      <w:bookmarkEnd w:id="166"/>
    </w:p>
    <w:p w14:paraId="73FC968D">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cs="微软雅黑 Light"/>
          <w:sz w:val="21"/>
          <w:szCs w:val="21"/>
          <w:lang w:eastAsia="zh-CN"/>
        </w:rPr>
        <w:t>建筑能耗管理</w:t>
      </w:r>
      <w:r>
        <w:rPr>
          <w:rFonts w:hint="eastAsia" w:ascii="微软雅黑 Light" w:hAnsi="微软雅黑 Light" w:eastAsia="微软雅黑 Light" w:cs="微软雅黑 Light"/>
          <w:sz w:val="21"/>
          <w:szCs w:val="21"/>
        </w:rPr>
        <w:t>系统监控中心系统采购清单及具体技术明细见下表：</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4"/>
        <w:gridCol w:w="3200"/>
        <w:gridCol w:w="1837"/>
        <w:gridCol w:w="1100"/>
        <w:gridCol w:w="1013"/>
      </w:tblGrid>
      <w:tr w14:paraId="22548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814" w:type="dxa"/>
            <w:gridSpan w:val="5"/>
            <w:noWrap w:val="0"/>
            <w:vAlign w:val="center"/>
          </w:tcPr>
          <w:p w14:paraId="3B0AF42F">
            <w:pPr>
              <w:jc w:val="center"/>
              <w:rPr>
                <w:rFonts w:hint="eastAsia" w:ascii="微软雅黑 Light" w:hAnsi="微软雅黑 Light" w:eastAsia="微软雅黑 Light" w:cs="微软雅黑 Light"/>
                <w:sz w:val="21"/>
                <w:szCs w:val="21"/>
              </w:rPr>
            </w:pPr>
            <w:r>
              <w:rPr>
                <w:rFonts w:hint="eastAsia" w:ascii="微软雅黑 Light" w:hAnsi="微软雅黑 Light" w:cs="微软雅黑 Light"/>
                <w:b/>
                <w:bCs/>
                <w:sz w:val="21"/>
                <w:szCs w:val="21"/>
                <w:lang w:eastAsia="zh-CN"/>
              </w:rPr>
              <w:t>建筑能耗管理</w:t>
            </w:r>
            <w:r>
              <w:rPr>
                <w:rFonts w:hint="eastAsia" w:ascii="微软雅黑 Light" w:hAnsi="微软雅黑 Light" w:eastAsia="微软雅黑 Light" w:cs="微软雅黑 Light"/>
                <w:b/>
                <w:bCs/>
                <w:sz w:val="21"/>
                <w:szCs w:val="21"/>
              </w:rPr>
              <w:t>系统监控中心系统材料清单</w:t>
            </w:r>
          </w:p>
        </w:tc>
      </w:tr>
      <w:tr w14:paraId="4C928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664" w:type="dxa"/>
            <w:shd w:val="clear" w:color="auto" w:fill="0000FF"/>
            <w:noWrap w:val="0"/>
            <w:vAlign w:val="center"/>
          </w:tcPr>
          <w:p w14:paraId="68DC7AB6">
            <w:pPr>
              <w:jc w:val="center"/>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序号</w:t>
            </w:r>
          </w:p>
        </w:tc>
        <w:tc>
          <w:tcPr>
            <w:tcW w:w="3200" w:type="dxa"/>
            <w:shd w:val="clear" w:color="auto" w:fill="0000FF"/>
            <w:noWrap w:val="0"/>
            <w:vAlign w:val="center"/>
          </w:tcPr>
          <w:p w14:paraId="094AA50E">
            <w:pPr>
              <w:jc w:val="center"/>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名称</w:t>
            </w:r>
          </w:p>
        </w:tc>
        <w:tc>
          <w:tcPr>
            <w:tcW w:w="1837" w:type="dxa"/>
            <w:shd w:val="clear" w:color="auto" w:fill="0000FF"/>
            <w:noWrap w:val="0"/>
            <w:vAlign w:val="center"/>
          </w:tcPr>
          <w:p w14:paraId="1E1F573B">
            <w:pPr>
              <w:jc w:val="center"/>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型号、规格</w:t>
            </w:r>
          </w:p>
        </w:tc>
        <w:tc>
          <w:tcPr>
            <w:tcW w:w="1100" w:type="dxa"/>
            <w:shd w:val="clear" w:color="auto" w:fill="0000FF"/>
            <w:noWrap w:val="0"/>
            <w:vAlign w:val="center"/>
          </w:tcPr>
          <w:p w14:paraId="0B34D129">
            <w:pPr>
              <w:jc w:val="center"/>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单位</w:t>
            </w:r>
          </w:p>
        </w:tc>
        <w:tc>
          <w:tcPr>
            <w:tcW w:w="1013" w:type="dxa"/>
            <w:shd w:val="clear" w:color="auto" w:fill="0000FF"/>
            <w:noWrap w:val="0"/>
            <w:vAlign w:val="center"/>
          </w:tcPr>
          <w:p w14:paraId="52F889EE">
            <w:pPr>
              <w:jc w:val="center"/>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数量</w:t>
            </w:r>
          </w:p>
        </w:tc>
      </w:tr>
      <w:tr w14:paraId="733F8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664" w:type="dxa"/>
            <w:noWrap w:val="0"/>
            <w:vAlign w:val="center"/>
          </w:tcPr>
          <w:p w14:paraId="62295BB3">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1</w:t>
            </w:r>
          </w:p>
        </w:tc>
        <w:tc>
          <w:tcPr>
            <w:tcW w:w="3200" w:type="dxa"/>
            <w:noWrap w:val="0"/>
            <w:vAlign w:val="top"/>
          </w:tcPr>
          <w:p w14:paraId="31EBB78A">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color w:val="FF0000"/>
                <w:sz w:val="21"/>
                <w:szCs w:val="21"/>
              </w:rPr>
              <w:t>网络版组态监控软件</w:t>
            </w:r>
          </w:p>
        </w:tc>
        <w:tc>
          <w:tcPr>
            <w:tcW w:w="1837" w:type="dxa"/>
            <w:noWrap w:val="0"/>
            <w:vAlign w:val="center"/>
          </w:tcPr>
          <w:p w14:paraId="74DDDB23">
            <w:pPr>
              <w:jc w:val="center"/>
              <w:rPr>
                <w:rFonts w:hint="eastAsia" w:ascii="微软雅黑 Light" w:hAnsi="微软雅黑 Light" w:eastAsia="微软雅黑 Light" w:cs="微软雅黑 Light"/>
                <w:sz w:val="21"/>
                <w:szCs w:val="21"/>
              </w:rPr>
            </w:pPr>
          </w:p>
        </w:tc>
        <w:tc>
          <w:tcPr>
            <w:tcW w:w="1100" w:type="dxa"/>
            <w:noWrap w:val="0"/>
            <w:vAlign w:val="center"/>
          </w:tcPr>
          <w:p w14:paraId="6AD06106">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套</w:t>
            </w:r>
          </w:p>
        </w:tc>
        <w:tc>
          <w:tcPr>
            <w:tcW w:w="1013" w:type="dxa"/>
            <w:noWrap w:val="0"/>
            <w:vAlign w:val="center"/>
          </w:tcPr>
          <w:p w14:paraId="1D3EC39E">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1</w:t>
            </w:r>
          </w:p>
        </w:tc>
      </w:tr>
      <w:tr w14:paraId="5A477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664" w:type="dxa"/>
            <w:noWrap w:val="0"/>
            <w:vAlign w:val="center"/>
          </w:tcPr>
          <w:p w14:paraId="6B0B1584">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2</w:t>
            </w:r>
          </w:p>
        </w:tc>
        <w:tc>
          <w:tcPr>
            <w:tcW w:w="3200" w:type="dxa"/>
            <w:noWrap w:val="0"/>
            <w:vAlign w:val="top"/>
          </w:tcPr>
          <w:p w14:paraId="5B1F248B">
            <w:pPr>
              <w:jc w:val="center"/>
              <w:rPr>
                <w:rFonts w:hint="eastAsia" w:ascii="微软雅黑 Light" w:hAnsi="微软雅黑 Light" w:eastAsia="微软雅黑 Light" w:cs="微软雅黑 Light"/>
                <w:color w:val="FF0000"/>
                <w:sz w:val="21"/>
                <w:szCs w:val="21"/>
              </w:rPr>
            </w:pPr>
            <w:r>
              <w:rPr>
                <w:rFonts w:hint="eastAsia" w:ascii="微软雅黑 Light" w:hAnsi="微软雅黑 Light" w:eastAsia="微软雅黑 Light" w:cs="微软雅黑 Light"/>
                <w:color w:val="FF0000"/>
                <w:sz w:val="21"/>
                <w:szCs w:val="21"/>
              </w:rPr>
              <w:t>综合能耗数据</w:t>
            </w:r>
          </w:p>
          <w:p w14:paraId="738260A1">
            <w:pPr>
              <w:jc w:val="center"/>
              <w:rPr>
                <w:rFonts w:hint="eastAsia" w:ascii="微软雅黑 Light" w:hAnsi="微软雅黑 Light" w:eastAsia="微软雅黑 Light" w:cs="微软雅黑 Light"/>
                <w:color w:val="FF0000"/>
                <w:sz w:val="21"/>
                <w:szCs w:val="21"/>
              </w:rPr>
            </w:pPr>
            <w:r>
              <w:rPr>
                <w:rFonts w:hint="eastAsia" w:ascii="微软雅黑 Light" w:hAnsi="微软雅黑 Light" w:eastAsia="微软雅黑 Light" w:cs="微软雅黑 Light"/>
                <w:color w:val="FF0000"/>
                <w:sz w:val="21"/>
                <w:szCs w:val="21"/>
              </w:rPr>
              <w:t>展示模块</w:t>
            </w:r>
          </w:p>
        </w:tc>
        <w:tc>
          <w:tcPr>
            <w:tcW w:w="1837" w:type="dxa"/>
            <w:noWrap w:val="0"/>
            <w:vAlign w:val="center"/>
          </w:tcPr>
          <w:p w14:paraId="7BB6728C">
            <w:pPr>
              <w:jc w:val="center"/>
              <w:rPr>
                <w:rFonts w:hint="eastAsia" w:ascii="微软雅黑 Light" w:hAnsi="微软雅黑 Light" w:eastAsia="微软雅黑 Light" w:cs="微软雅黑 Light"/>
                <w:sz w:val="21"/>
                <w:szCs w:val="21"/>
              </w:rPr>
            </w:pPr>
          </w:p>
        </w:tc>
        <w:tc>
          <w:tcPr>
            <w:tcW w:w="1100" w:type="dxa"/>
            <w:noWrap w:val="0"/>
            <w:vAlign w:val="center"/>
          </w:tcPr>
          <w:p w14:paraId="7643075E">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套</w:t>
            </w:r>
          </w:p>
        </w:tc>
        <w:tc>
          <w:tcPr>
            <w:tcW w:w="1013" w:type="dxa"/>
            <w:noWrap w:val="0"/>
            <w:vAlign w:val="center"/>
          </w:tcPr>
          <w:p w14:paraId="146D2C02">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1</w:t>
            </w:r>
          </w:p>
        </w:tc>
      </w:tr>
      <w:tr w14:paraId="21C64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664" w:type="dxa"/>
            <w:noWrap w:val="0"/>
            <w:vAlign w:val="center"/>
          </w:tcPr>
          <w:p w14:paraId="595778EF">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3</w:t>
            </w:r>
          </w:p>
        </w:tc>
        <w:tc>
          <w:tcPr>
            <w:tcW w:w="3200" w:type="dxa"/>
            <w:noWrap w:val="0"/>
            <w:vAlign w:val="top"/>
          </w:tcPr>
          <w:p w14:paraId="57231383">
            <w:pPr>
              <w:jc w:val="center"/>
              <w:rPr>
                <w:rFonts w:hint="eastAsia" w:ascii="微软雅黑 Light" w:hAnsi="微软雅黑 Light" w:eastAsia="微软雅黑 Light" w:cs="微软雅黑 Light"/>
                <w:color w:val="FF0000"/>
                <w:sz w:val="21"/>
                <w:szCs w:val="21"/>
              </w:rPr>
            </w:pPr>
            <w:r>
              <w:rPr>
                <w:rFonts w:hint="eastAsia" w:ascii="微软雅黑 Light" w:hAnsi="微软雅黑 Light" w:eastAsia="微软雅黑 Light" w:cs="微软雅黑 Light"/>
                <w:color w:val="FF0000"/>
                <w:sz w:val="21"/>
                <w:szCs w:val="21"/>
              </w:rPr>
              <w:t>能源监测系统基础模块</w:t>
            </w:r>
          </w:p>
        </w:tc>
        <w:tc>
          <w:tcPr>
            <w:tcW w:w="1837" w:type="dxa"/>
            <w:noWrap w:val="0"/>
            <w:vAlign w:val="center"/>
          </w:tcPr>
          <w:p w14:paraId="190BC243">
            <w:pPr>
              <w:jc w:val="center"/>
              <w:rPr>
                <w:rFonts w:hint="eastAsia" w:ascii="微软雅黑 Light" w:hAnsi="微软雅黑 Light" w:eastAsia="微软雅黑 Light" w:cs="微软雅黑 Light"/>
                <w:sz w:val="21"/>
                <w:szCs w:val="21"/>
              </w:rPr>
            </w:pPr>
          </w:p>
        </w:tc>
        <w:tc>
          <w:tcPr>
            <w:tcW w:w="1100" w:type="dxa"/>
            <w:noWrap w:val="0"/>
            <w:vAlign w:val="center"/>
          </w:tcPr>
          <w:p w14:paraId="0B8A1C8E">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套</w:t>
            </w:r>
          </w:p>
        </w:tc>
        <w:tc>
          <w:tcPr>
            <w:tcW w:w="1013" w:type="dxa"/>
            <w:noWrap w:val="0"/>
            <w:vAlign w:val="center"/>
          </w:tcPr>
          <w:p w14:paraId="5099F724">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1</w:t>
            </w:r>
          </w:p>
        </w:tc>
      </w:tr>
      <w:tr w14:paraId="340AD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664" w:type="dxa"/>
            <w:noWrap w:val="0"/>
            <w:vAlign w:val="center"/>
          </w:tcPr>
          <w:p w14:paraId="16660921">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4</w:t>
            </w:r>
          </w:p>
        </w:tc>
        <w:tc>
          <w:tcPr>
            <w:tcW w:w="3200" w:type="dxa"/>
            <w:noWrap w:val="0"/>
            <w:vAlign w:val="center"/>
          </w:tcPr>
          <w:p w14:paraId="3BB306E6">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系统应用服务器</w:t>
            </w:r>
          </w:p>
        </w:tc>
        <w:tc>
          <w:tcPr>
            <w:tcW w:w="1837" w:type="dxa"/>
            <w:noWrap w:val="0"/>
            <w:vAlign w:val="center"/>
          </w:tcPr>
          <w:p w14:paraId="47B7F425">
            <w:pPr>
              <w:jc w:val="center"/>
              <w:rPr>
                <w:rFonts w:hint="eastAsia" w:ascii="微软雅黑 Light" w:hAnsi="微软雅黑 Light" w:eastAsia="微软雅黑 Light" w:cs="微软雅黑 Light"/>
                <w:sz w:val="21"/>
                <w:szCs w:val="21"/>
              </w:rPr>
            </w:pPr>
          </w:p>
        </w:tc>
        <w:tc>
          <w:tcPr>
            <w:tcW w:w="1100" w:type="dxa"/>
            <w:noWrap w:val="0"/>
            <w:vAlign w:val="center"/>
          </w:tcPr>
          <w:p w14:paraId="44CC12BB">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套</w:t>
            </w:r>
          </w:p>
        </w:tc>
        <w:tc>
          <w:tcPr>
            <w:tcW w:w="1013" w:type="dxa"/>
            <w:noWrap w:val="0"/>
            <w:vAlign w:val="center"/>
          </w:tcPr>
          <w:p w14:paraId="64A97E6B">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1</w:t>
            </w:r>
          </w:p>
        </w:tc>
      </w:tr>
      <w:tr w14:paraId="3AD71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664" w:type="dxa"/>
            <w:noWrap w:val="0"/>
            <w:vAlign w:val="center"/>
          </w:tcPr>
          <w:p w14:paraId="7211A00A">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5</w:t>
            </w:r>
          </w:p>
        </w:tc>
        <w:tc>
          <w:tcPr>
            <w:tcW w:w="3200" w:type="dxa"/>
            <w:noWrap w:val="0"/>
            <w:vAlign w:val="center"/>
          </w:tcPr>
          <w:p w14:paraId="1F818931">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数据库服务器</w:t>
            </w:r>
          </w:p>
        </w:tc>
        <w:tc>
          <w:tcPr>
            <w:tcW w:w="1837" w:type="dxa"/>
            <w:noWrap w:val="0"/>
            <w:vAlign w:val="center"/>
          </w:tcPr>
          <w:p w14:paraId="6A51C8AE">
            <w:pPr>
              <w:jc w:val="center"/>
              <w:rPr>
                <w:rFonts w:hint="eastAsia" w:ascii="微软雅黑 Light" w:hAnsi="微软雅黑 Light" w:eastAsia="微软雅黑 Light" w:cs="微软雅黑 Light"/>
                <w:sz w:val="21"/>
                <w:szCs w:val="21"/>
              </w:rPr>
            </w:pPr>
          </w:p>
        </w:tc>
        <w:tc>
          <w:tcPr>
            <w:tcW w:w="1100" w:type="dxa"/>
            <w:noWrap w:val="0"/>
            <w:vAlign w:val="center"/>
          </w:tcPr>
          <w:p w14:paraId="6845E3FC">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套</w:t>
            </w:r>
          </w:p>
        </w:tc>
        <w:tc>
          <w:tcPr>
            <w:tcW w:w="1013" w:type="dxa"/>
            <w:noWrap w:val="0"/>
            <w:vAlign w:val="center"/>
          </w:tcPr>
          <w:p w14:paraId="3E30A8D8">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1</w:t>
            </w:r>
          </w:p>
        </w:tc>
      </w:tr>
      <w:tr w14:paraId="6739C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664" w:type="dxa"/>
            <w:noWrap w:val="0"/>
            <w:vAlign w:val="center"/>
          </w:tcPr>
          <w:p w14:paraId="49E99571">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6</w:t>
            </w:r>
          </w:p>
        </w:tc>
        <w:tc>
          <w:tcPr>
            <w:tcW w:w="3200" w:type="dxa"/>
            <w:noWrap w:val="0"/>
            <w:vAlign w:val="center"/>
          </w:tcPr>
          <w:p w14:paraId="68E12E17">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采集服务器</w:t>
            </w:r>
          </w:p>
        </w:tc>
        <w:tc>
          <w:tcPr>
            <w:tcW w:w="1837" w:type="dxa"/>
            <w:noWrap w:val="0"/>
            <w:vAlign w:val="center"/>
          </w:tcPr>
          <w:p w14:paraId="4FC78050">
            <w:pPr>
              <w:jc w:val="center"/>
              <w:rPr>
                <w:rFonts w:hint="eastAsia" w:ascii="微软雅黑 Light" w:hAnsi="微软雅黑 Light" w:eastAsia="微软雅黑 Light" w:cs="微软雅黑 Light"/>
                <w:sz w:val="21"/>
                <w:szCs w:val="21"/>
              </w:rPr>
            </w:pPr>
          </w:p>
        </w:tc>
        <w:tc>
          <w:tcPr>
            <w:tcW w:w="1100" w:type="dxa"/>
            <w:noWrap w:val="0"/>
            <w:vAlign w:val="center"/>
          </w:tcPr>
          <w:p w14:paraId="779E56AE">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套</w:t>
            </w:r>
          </w:p>
        </w:tc>
        <w:tc>
          <w:tcPr>
            <w:tcW w:w="1013" w:type="dxa"/>
            <w:noWrap w:val="0"/>
            <w:vAlign w:val="center"/>
          </w:tcPr>
          <w:p w14:paraId="52DA039F">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1</w:t>
            </w:r>
          </w:p>
        </w:tc>
      </w:tr>
      <w:tr w14:paraId="32769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664" w:type="dxa"/>
            <w:noWrap w:val="0"/>
            <w:vAlign w:val="center"/>
          </w:tcPr>
          <w:p w14:paraId="63C9C1BA">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7</w:t>
            </w:r>
          </w:p>
        </w:tc>
        <w:tc>
          <w:tcPr>
            <w:tcW w:w="3200" w:type="dxa"/>
            <w:noWrap w:val="0"/>
            <w:vAlign w:val="center"/>
          </w:tcPr>
          <w:p w14:paraId="18BAD988">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备份服务器</w:t>
            </w:r>
          </w:p>
        </w:tc>
        <w:tc>
          <w:tcPr>
            <w:tcW w:w="1837" w:type="dxa"/>
            <w:noWrap w:val="0"/>
            <w:vAlign w:val="center"/>
          </w:tcPr>
          <w:p w14:paraId="56FC961D">
            <w:pPr>
              <w:jc w:val="center"/>
              <w:rPr>
                <w:rFonts w:hint="eastAsia" w:ascii="微软雅黑 Light" w:hAnsi="微软雅黑 Light" w:eastAsia="微软雅黑 Light" w:cs="微软雅黑 Light"/>
                <w:sz w:val="21"/>
                <w:szCs w:val="21"/>
              </w:rPr>
            </w:pPr>
          </w:p>
        </w:tc>
        <w:tc>
          <w:tcPr>
            <w:tcW w:w="1100" w:type="dxa"/>
            <w:noWrap w:val="0"/>
            <w:vAlign w:val="center"/>
          </w:tcPr>
          <w:p w14:paraId="5C0C8D1B">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套</w:t>
            </w:r>
          </w:p>
        </w:tc>
        <w:tc>
          <w:tcPr>
            <w:tcW w:w="1013" w:type="dxa"/>
            <w:noWrap w:val="0"/>
            <w:vAlign w:val="center"/>
          </w:tcPr>
          <w:p w14:paraId="7F51C33A">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1</w:t>
            </w:r>
          </w:p>
        </w:tc>
      </w:tr>
      <w:tr w14:paraId="3B5C1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664" w:type="dxa"/>
            <w:noWrap w:val="0"/>
            <w:vAlign w:val="center"/>
          </w:tcPr>
          <w:p w14:paraId="6B4FFFAC">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8</w:t>
            </w:r>
          </w:p>
        </w:tc>
        <w:tc>
          <w:tcPr>
            <w:tcW w:w="3200" w:type="dxa"/>
            <w:noWrap w:val="0"/>
            <w:vAlign w:val="center"/>
          </w:tcPr>
          <w:p w14:paraId="07AE303C">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数据库</w:t>
            </w:r>
          </w:p>
        </w:tc>
        <w:tc>
          <w:tcPr>
            <w:tcW w:w="1837" w:type="dxa"/>
            <w:noWrap w:val="0"/>
            <w:vAlign w:val="center"/>
          </w:tcPr>
          <w:p w14:paraId="120AAAC8">
            <w:pPr>
              <w:jc w:val="center"/>
              <w:rPr>
                <w:rFonts w:hint="eastAsia" w:ascii="微软雅黑 Light" w:hAnsi="微软雅黑 Light" w:eastAsia="微软雅黑 Light" w:cs="微软雅黑 Light"/>
                <w:sz w:val="21"/>
                <w:szCs w:val="21"/>
              </w:rPr>
            </w:pPr>
          </w:p>
        </w:tc>
        <w:tc>
          <w:tcPr>
            <w:tcW w:w="1100" w:type="dxa"/>
            <w:noWrap w:val="0"/>
            <w:vAlign w:val="center"/>
          </w:tcPr>
          <w:p w14:paraId="5FA51F73">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套</w:t>
            </w:r>
          </w:p>
        </w:tc>
        <w:tc>
          <w:tcPr>
            <w:tcW w:w="1013" w:type="dxa"/>
            <w:noWrap w:val="0"/>
            <w:vAlign w:val="center"/>
          </w:tcPr>
          <w:p w14:paraId="2E9D1532">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1</w:t>
            </w:r>
          </w:p>
        </w:tc>
      </w:tr>
      <w:tr w14:paraId="3C147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664" w:type="dxa"/>
            <w:noWrap w:val="0"/>
            <w:vAlign w:val="center"/>
          </w:tcPr>
          <w:p w14:paraId="6DF6492D">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9</w:t>
            </w:r>
          </w:p>
        </w:tc>
        <w:tc>
          <w:tcPr>
            <w:tcW w:w="3200" w:type="dxa"/>
            <w:noWrap w:val="0"/>
            <w:vAlign w:val="center"/>
          </w:tcPr>
          <w:p w14:paraId="2096C0C0">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机柜</w:t>
            </w:r>
          </w:p>
        </w:tc>
        <w:tc>
          <w:tcPr>
            <w:tcW w:w="1837" w:type="dxa"/>
            <w:noWrap w:val="0"/>
            <w:vAlign w:val="center"/>
          </w:tcPr>
          <w:p w14:paraId="54ED45F4">
            <w:pPr>
              <w:jc w:val="center"/>
              <w:rPr>
                <w:rFonts w:hint="eastAsia" w:ascii="微软雅黑 Light" w:hAnsi="微软雅黑 Light" w:eastAsia="微软雅黑 Light" w:cs="微软雅黑 Light"/>
                <w:sz w:val="21"/>
                <w:szCs w:val="21"/>
              </w:rPr>
            </w:pPr>
          </w:p>
        </w:tc>
        <w:tc>
          <w:tcPr>
            <w:tcW w:w="1100" w:type="dxa"/>
            <w:noWrap w:val="0"/>
            <w:vAlign w:val="center"/>
          </w:tcPr>
          <w:p w14:paraId="2C32F5E7">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个</w:t>
            </w:r>
          </w:p>
        </w:tc>
        <w:tc>
          <w:tcPr>
            <w:tcW w:w="1013" w:type="dxa"/>
            <w:noWrap w:val="0"/>
            <w:vAlign w:val="center"/>
          </w:tcPr>
          <w:p w14:paraId="1F5C8FF6">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1</w:t>
            </w:r>
          </w:p>
        </w:tc>
      </w:tr>
      <w:tr w14:paraId="1D178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664" w:type="dxa"/>
            <w:noWrap w:val="0"/>
            <w:vAlign w:val="center"/>
          </w:tcPr>
          <w:p w14:paraId="04A43C62">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10</w:t>
            </w:r>
          </w:p>
        </w:tc>
        <w:tc>
          <w:tcPr>
            <w:tcW w:w="3200" w:type="dxa"/>
            <w:noWrap w:val="0"/>
            <w:vAlign w:val="center"/>
          </w:tcPr>
          <w:p w14:paraId="1B5DF832">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操作系统</w:t>
            </w:r>
          </w:p>
        </w:tc>
        <w:tc>
          <w:tcPr>
            <w:tcW w:w="1837" w:type="dxa"/>
            <w:noWrap w:val="0"/>
            <w:vAlign w:val="center"/>
          </w:tcPr>
          <w:p w14:paraId="05890A27">
            <w:pPr>
              <w:jc w:val="center"/>
              <w:rPr>
                <w:rFonts w:hint="eastAsia" w:ascii="微软雅黑 Light" w:hAnsi="微软雅黑 Light" w:eastAsia="微软雅黑 Light" w:cs="微软雅黑 Light"/>
                <w:sz w:val="21"/>
                <w:szCs w:val="21"/>
              </w:rPr>
            </w:pPr>
          </w:p>
        </w:tc>
        <w:tc>
          <w:tcPr>
            <w:tcW w:w="1100" w:type="dxa"/>
            <w:noWrap w:val="0"/>
            <w:vAlign w:val="center"/>
          </w:tcPr>
          <w:p w14:paraId="3838A392">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套</w:t>
            </w:r>
          </w:p>
        </w:tc>
        <w:tc>
          <w:tcPr>
            <w:tcW w:w="1013" w:type="dxa"/>
            <w:noWrap w:val="0"/>
            <w:vAlign w:val="center"/>
          </w:tcPr>
          <w:p w14:paraId="0257744A">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1</w:t>
            </w:r>
          </w:p>
        </w:tc>
      </w:tr>
      <w:tr w14:paraId="6512B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664" w:type="dxa"/>
            <w:noWrap w:val="0"/>
            <w:vAlign w:val="center"/>
          </w:tcPr>
          <w:p w14:paraId="6BBE6F4A">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11</w:t>
            </w:r>
          </w:p>
        </w:tc>
        <w:tc>
          <w:tcPr>
            <w:tcW w:w="3200" w:type="dxa"/>
            <w:noWrap w:val="0"/>
            <w:vAlign w:val="center"/>
          </w:tcPr>
          <w:p w14:paraId="44BF0FD1">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Office软件</w:t>
            </w:r>
          </w:p>
        </w:tc>
        <w:tc>
          <w:tcPr>
            <w:tcW w:w="1837" w:type="dxa"/>
            <w:noWrap w:val="0"/>
            <w:vAlign w:val="center"/>
          </w:tcPr>
          <w:p w14:paraId="14A1758C">
            <w:pPr>
              <w:jc w:val="center"/>
              <w:rPr>
                <w:rFonts w:hint="eastAsia" w:ascii="微软雅黑 Light" w:hAnsi="微软雅黑 Light" w:eastAsia="微软雅黑 Light" w:cs="微软雅黑 Light"/>
                <w:sz w:val="21"/>
                <w:szCs w:val="21"/>
              </w:rPr>
            </w:pPr>
          </w:p>
        </w:tc>
        <w:tc>
          <w:tcPr>
            <w:tcW w:w="1100" w:type="dxa"/>
            <w:noWrap w:val="0"/>
            <w:vAlign w:val="center"/>
          </w:tcPr>
          <w:p w14:paraId="72110817">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套</w:t>
            </w:r>
          </w:p>
        </w:tc>
        <w:tc>
          <w:tcPr>
            <w:tcW w:w="1013" w:type="dxa"/>
            <w:noWrap w:val="0"/>
            <w:vAlign w:val="center"/>
          </w:tcPr>
          <w:p w14:paraId="1F4DB4A7">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1</w:t>
            </w:r>
          </w:p>
        </w:tc>
      </w:tr>
      <w:tr w14:paraId="442B0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664" w:type="dxa"/>
            <w:noWrap w:val="0"/>
            <w:vAlign w:val="center"/>
          </w:tcPr>
          <w:p w14:paraId="6ADEFCCE">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12</w:t>
            </w:r>
          </w:p>
        </w:tc>
        <w:tc>
          <w:tcPr>
            <w:tcW w:w="3200" w:type="dxa"/>
            <w:noWrap w:val="0"/>
            <w:vAlign w:val="center"/>
          </w:tcPr>
          <w:p w14:paraId="7F8526B7">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办公电脑</w:t>
            </w:r>
          </w:p>
        </w:tc>
        <w:tc>
          <w:tcPr>
            <w:tcW w:w="1837" w:type="dxa"/>
            <w:noWrap w:val="0"/>
            <w:vAlign w:val="center"/>
          </w:tcPr>
          <w:p w14:paraId="0033285F">
            <w:pPr>
              <w:jc w:val="center"/>
              <w:rPr>
                <w:rFonts w:hint="eastAsia" w:ascii="微软雅黑 Light" w:hAnsi="微软雅黑 Light" w:eastAsia="微软雅黑 Light" w:cs="微软雅黑 Light"/>
                <w:sz w:val="21"/>
                <w:szCs w:val="21"/>
              </w:rPr>
            </w:pPr>
          </w:p>
        </w:tc>
        <w:tc>
          <w:tcPr>
            <w:tcW w:w="1100" w:type="dxa"/>
            <w:noWrap w:val="0"/>
            <w:vAlign w:val="center"/>
          </w:tcPr>
          <w:p w14:paraId="5A891719">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台</w:t>
            </w:r>
          </w:p>
        </w:tc>
        <w:tc>
          <w:tcPr>
            <w:tcW w:w="1013" w:type="dxa"/>
            <w:noWrap w:val="0"/>
            <w:vAlign w:val="center"/>
          </w:tcPr>
          <w:p w14:paraId="69808EAD">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4</w:t>
            </w:r>
          </w:p>
        </w:tc>
      </w:tr>
      <w:tr w14:paraId="66DF2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664" w:type="dxa"/>
            <w:noWrap w:val="0"/>
            <w:vAlign w:val="center"/>
          </w:tcPr>
          <w:p w14:paraId="74BFC11D">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13</w:t>
            </w:r>
          </w:p>
        </w:tc>
        <w:tc>
          <w:tcPr>
            <w:tcW w:w="3200" w:type="dxa"/>
            <w:noWrap w:val="0"/>
            <w:vAlign w:val="center"/>
          </w:tcPr>
          <w:p w14:paraId="1EEE0DFC">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移动电脑</w:t>
            </w:r>
          </w:p>
        </w:tc>
        <w:tc>
          <w:tcPr>
            <w:tcW w:w="1837" w:type="dxa"/>
            <w:noWrap w:val="0"/>
            <w:vAlign w:val="center"/>
          </w:tcPr>
          <w:p w14:paraId="1DADC0C0">
            <w:pPr>
              <w:jc w:val="center"/>
              <w:rPr>
                <w:rFonts w:hint="eastAsia" w:ascii="微软雅黑 Light" w:hAnsi="微软雅黑 Light" w:eastAsia="微软雅黑 Light" w:cs="微软雅黑 Light"/>
                <w:sz w:val="21"/>
                <w:szCs w:val="21"/>
              </w:rPr>
            </w:pPr>
          </w:p>
        </w:tc>
        <w:tc>
          <w:tcPr>
            <w:tcW w:w="1100" w:type="dxa"/>
            <w:noWrap w:val="0"/>
            <w:vAlign w:val="center"/>
          </w:tcPr>
          <w:p w14:paraId="4BC6BE8D">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台</w:t>
            </w:r>
          </w:p>
        </w:tc>
        <w:tc>
          <w:tcPr>
            <w:tcW w:w="1013" w:type="dxa"/>
            <w:noWrap w:val="0"/>
            <w:vAlign w:val="center"/>
          </w:tcPr>
          <w:p w14:paraId="6937636A">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7</w:t>
            </w:r>
          </w:p>
        </w:tc>
      </w:tr>
      <w:tr w14:paraId="7E896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664" w:type="dxa"/>
            <w:noWrap w:val="0"/>
            <w:vAlign w:val="center"/>
          </w:tcPr>
          <w:p w14:paraId="1A3D1E3C">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14</w:t>
            </w:r>
          </w:p>
        </w:tc>
        <w:tc>
          <w:tcPr>
            <w:tcW w:w="3200" w:type="dxa"/>
            <w:noWrap w:val="0"/>
            <w:vAlign w:val="center"/>
          </w:tcPr>
          <w:p w14:paraId="5C1B77B6">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音响</w:t>
            </w:r>
          </w:p>
        </w:tc>
        <w:tc>
          <w:tcPr>
            <w:tcW w:w="1837" w:type="dxa"/>
            <w:noWrap w:val="0"/>
            <w:vAlign w:val="center"/>
          </w:tcPr>
          <w:p w14:paraId="0A809A81">
            <w:pPr>
              <w:jc w:val="center"/>
              <w:rPr>
                <w:rFonts w:hint="eastAsia" w:ascii="微软雅黑 Light" w:hAnsi="微软雅黑 Light" w:eastAsia="微软雅黑 Light" w:cs="微软雅黑 Light"/>
                <w:sz w:val="21"/>
                <w:szCs w:val="21"/>
              </w:rPr>
            </w:pPr>
          </w:p>
        </w:tc>
        <w:tc>
          <w:tcPr>
            <w:tcW w:w="1100" w:type="dxa"/>
            <w:noWrap w:val="0"/>
            <w:vAlign w:val="center"/>
          </w:tcPr>
          <w:p w14:paraId="608C0384">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套</w:t>
            </w:r>
          </w:p>
        </w:tc>
        <w:tc>
          <w:tcPr>
            <w:tcW w:w="1013" w:type="dxa"/>
            <w:noWrap w:val="0"/>
            <w:vAlign w:val="center"/>
          </w:tcPr>
          <w:p w14:paraId="06FF664F">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1</w:t>
            </w:r>
          </w:p>
        </w:tc>
      </w:tr>
      <w:tr w14:paraId="6E688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664" w:type="dxa"/>
            <w:noWrap w:val="0"/>
            <w:vAlign w:val="center"/>
          </w:tcPr>
          <w:p w14:paraId="0798E49A">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15</w:t>
            </w:r>
          </w:p>
        </w:tc>
        <w:tc>
          <w:tcPr>
            <w:tcW w:w="3200" w:type="dxa"/>
            <w:noWrap w:val="0"/>
            <w:vAlign w:val="center"/>
          </w:tcPr>
          <w:p w14:paraId="5025CB62">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办公用品</w:t>
            </w:r>
          </w:p>
        </w:tc>
        <w:tc>
          <w:tcPr>
            <w:tcW w:w="1837" w:type="dxa"/>
            <w:noWrap w:val="0"/>
            <w:vAlign w:val="center"/>
          </w:tcPr>
          <w:p w14:paraId="21B4A191">
            <w:pPr>
              <w:jc w:val="center"/>
              <w:rPr>
                <w:rFonts w:hint="eastAsia" w:ascii="微软雅黑 Light" w:hAnsi="微软雅黑 Light" w:eastAsia="微软雅黑 Light" w:cs="微软雅黑 Light"/>
                <w:sz w:val="21"/>
                <w:szCs w:val="21"/>
              </w:rPr>
            </w:pPr>
          </w:p>
        </w:tc>
        <w:tc>
          <w:tcPr>
            <w:tcW w:w="1100" w:type="dxa"/>
            <w:noWrap w:val="0"/>
            <w:vAlign w:val="center"/>
          </w:tcPr>
          <w:p w14:paraId="4EECAF93">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批</w:t>
            </w:r>
          </w:p>
        </w:tc>
        <w:tc>
          <w:tcPr>
            <w:tcW w:w="1013" w:type="dxa"/>
            <w:noWrap w:val="0"/>
            <w:vAlign w:val="center"/>
          </w:tcPr>
          <w:p w14:paraId="0BFE8791">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1</w:t>
            </w:r>
          </w:p>
        </w:tc>
      </w:tr>
      <w:tr w14:paraId="658B5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664" w:type="dxa"/>
            <w:noWrap w:val="0"/>
            <w:vAlign w:val="center"/>
          </w:tcPr>
          <w:p w14:paraId="2C609B2F">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16</w:t>
            </w:r>
          </w:p>
        </w:tc>
        <w:tc>
          <w:tcPr>
            <w:tcW w:w="3200" w:type="dxa"/>
            <w:noWrap w:val="0"/>
            <w:vAlign w:val="center"/>
          </w:tcPr>
          <w:p w14:paraId="650F5E6E">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机房装修</w:t>
            </w:r>
          </w:p>
        </w:tc>
        <w:tc>
          <w:tcPr>
            <w:tcW w:w="1837" w:type="dxa"/>
            <w:noWrap w:val="0"/>
            <w:vAlign w:val="center"/>
          </w:tcPr>
          <w:p w14:paraId="6A95F427">
            <w:pPr>
              <w:jc w:val="center"/>
              <w:rPr>
                <w:rFonts w:hint="eastAsia" w:ascii="微软雅黑 Light" w:hAnsi="微软雅黑 Light" w:eastAsia="微软雅黑 Light" w:cs="微软雅黑 Light"/>
                <w:sz w:val="21"/>
                <w:szCs w:val="21"/>
              </w:rPr>
            </w:pPr>
          </w:p>
        </w:tc>
        <w:tc>
          <w:tcPr>
            <w:tcW w:w="1100" w:type="dxa"/>
            <w:noWrap w:val="0"/>
            <w:vAlign w:val="center"/>
          </w:tcPr>
          <w:p w14:paraId="78F88290">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批</w:t>
            </w:r>
          </w:p>
        </w:tc>
        <w:tc>
          <w:tcPr>
            <w:tcW w:w="1013" w:type="dxa"/>
            <w:noWrap w:val="0"/>
            <w:vAlign w:val="center"/>
          </w:tcPr>
          <w:p w14:paraId="5263926D">
            <w:pPr>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1</w:t>
            </w:r>
          </w:p>
        </w:tc>
      </w:tr>
    </w:tbl>
    <w:p w14:paraId="0778D9A2">
      <w:pPr>
        <w:pStyle w:val="4"/>
        <w:bidi w:val="0"/>
        <w:rPr>
          <w:rFonts w:hint="eastAsia"/>
        </w:rPr>
      </w:pPr>
      <w:bookmarkStart w:id="167" w:name="_Toc28534"/>
      <w:bookmarkStart w:id="168" w:name="_Toc26169"/>
      <w:r>
        <w:rPr>
          <w:rFonts w:hint="eastAsia"/>
        </w:rPr>
        <w:t>5.2.1 服务器</w:t>
      </w:r>
      <w:bookmarkEnd w:id="167"/>
      <w:bookmarkEnd w:id="168"/>
    </w:p>
    <w:p w14:paraId="3F49A295">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在现代软件系统架构中，服务器通常根据功能划分为应用服务器与数据服务器两大核心组件。</w:t>
      </w:r>
    </w:p>
    <w:p w14:paraId="2DB0170E">
      <w:p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应用服务器负责承载业务逻辑处理、用户请求响应、接口调用及与其他系统的交互；</w:t>
      </w:r>
    </w:p>
    <w:p w14:paraId="7E0155D9">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数据服务器则专注于数据的存储、管理、查询与事务处理，保障数据的一致性、安全性和高可用性。</w:t>
      </w:r>
    </w:p>
    <w:p w14:paraId="5AE900EC">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对于小型或轻量级项目（如内部管理系统、原型验证系统或用户规模有限的Web应用），出于成本控制与部署便捷性的考虑，应用服务与数据库可部署在同一台物理或虚拟服务器上，即采用“一体化部署”模式。该模式结构简单、维护成本低，且主流商用硬件配置（如Intel i5/i7处理器、16GB内存、SSD固态硬盘）已完全能够满足其性能需求。</w:t>
      </w:r>
    </w:p>
    <w:p w14:paraId="59CE834A">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而对于中大型项目或高并发、高可用性要求的生产系统，则推荐采用分离式部署架构：</w:t>
      </w:r>
    </w:p>
    <w:p w14:paraId="6AD0774B">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将应用服务器与数据服务器物理隔离，提升系统安全性与稳定性；</w:t>
      </w:r>
    </w:p>
    <w:p w14:paraId="2E3C9CBC">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进一步地，可将复杂业务拆分为多个独立的应用组件（如用户服务、订单服务、支付网关等），分别部署在不同的应用服务器节点上，实现模块解耦与职责分离；</w:t>
      </w:r>
    </w:p>
    <w:p w14:paraId="00CB06DF">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结合负载均衡、集群部署等技术手段，有效实现请求分发与计算负荷分摊，显著提升系统整体吞吐能力与容错能力。</w:t>
      </w:r>
    </w:p>
    <w:p w14:paraId="16A5AA73">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在服务器选型方面，小型项目可选用高性能商用台式机、入门级塔式服务器或云平台上的通用型实例（如阿里云ecs.g7.large、腾讯云SA2等），无需过度配置即可稳定运行。随着业务增长，系统可平滑迁移至专用服务器集群或云原生架构，具备良好的可扩展性与演进路径。</w:t>
      </w:r>
    </w:p>
    <w:p w14:paraId="5057C2C0">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综上，合理的服务器部署策略应结合项目规模、预算、性能预期及未来扩展需求综合考量，在保证系统可靠性的前提下，实现资源利用效率与运维复杂度的最佳平衡。</w:t>
      </w:r>
    </w:p>
    <w:p w14:paraId="1F65F066">
      <w:pPr>
        <w:pStyle w:val="4"/>
        <w:bidi w:val="0"/>
        <w:rPr>
          <w:rFonts w:hint="eastAsia"/>
        </w:rPr>
      </w:pPr>
      <w:bookmarkStart w:id="169" w:name="_Toc25307"/>
      <w:bookmarkStart w:id="170" w:name="_Toc31748"/>
      <w:r>
        <w:rPr>
          <w:rFonts w:hint="eastAsia"/>
        </w:rPr>
        <w:t>5.2.2操作系统</w:t>
      </w:r>
      <w:bookmarkEnd w:id="169"/>
      <w:bookmarkEnd w:id="170"/>
    </w:p>
    <w:p w14:paraId="73528469">
      <w:pPr>
        <w:pStyle w:val="41"/>
        <w:adjustRightInd w:val="0"/>
        <w:snapToGrid w:val="0"/>
        <w:spacing w:line="360" w:lineRule="auto"/>
        <w:ind w:firstLineChars="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本软件原生支持以下操作系统平台：</w:t>
      </w:r>
    </w:p>
    <w:p w14:paraId="7A527A3E">
      <w:pPr>
        <w:pStyle w:val="41"/>
        <w:adjustRightInd w:val="0"/>
        <w:snapToGrid w:val="0"/>
        <w:spacing w:line="360" w:lineRule="auto"/>
        <w:ind w:firstLineChars="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Microsoft Windows 系列</w:t>
      </w:r>
      <w:r>
        <w:rPr>
          <w:rFonts w:hint="eastAsia" w:ascii="微软雅黑 Light" w:hAnsi="微软雅黑 Light" w:cs="微软雅黑 Light"/>
          <w:sz w:val="21"/>
          <w:szCs w:val="21"/>
          <w:lang w:eastAsia="zh-CN"/>
        </w:rPr>
        <w:t>，</w:t>
      </w:r>
      <w:r>
        <w:rPr>
          <w:rFonts w:hint="eastAsia" w:ascii="微软雅黑 Light" w:hAnsi="微软雅黑 Light" w:eastAsia="微软雅黑 Light" w:cs="微软雅黑 Light"/>
          <w:sz w:val="21"/>
          <w:szCs w:val="21"/>
        </w:rPr>
        <w:t>包括 Windows 10、Windows 11（桌面版）以及 Windows Server 2016/2019/2022（服务器版），适用于企业级应用部署与本地开发测试环境，提供图形化管理界面与完善的系统集成能力。</w:t>
      </w:r>
    </w:p>
    <w:p w14:paraId="2E1535E1">
      <w:pPr>
        <w:pStyle w:val="41"/>
        <w:adjustRightInd w:val="0"/>
        <w:snapToGrid w:val="0"/>
        <w:spacing w:line="360" w:lineRule="auto"/>
        <w:ind w:firstLineChars="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Linux 发行版</w:t>
      </w:r>
      <w:r>
        <w:rPr>
          <w:rFonts w:hint="eastAsia" w:ascii="微软雅黑 Light" w:hAnsi="微软雅黑 Light" w:cs="微软雅黑 Light"/>
          <w:sz w:val="21"/>
          <w:szCs w:val="21"/>
          <w:lang w:eastAsia="zh-CN"/>
        </w:rPr>
        <w:t>，</w:t>
      </w:r>
      <w:r>
        <w:rPr>
          <w:rFonts w:hint="eastAsia" w:ascii="微软雅黑 Light" w:hAnsi="微软雅黑 Light" w:eastAsia="微软雅黑 Light" w:cs="微软雅黑 Light"/>
          <w:sz w:val="21"/>
          <w:szCs w:val="21"/>
        </w:rPr>
        <w:t>兼容主流开源 Linux 操作系统，包括但不限于：CentOS / Rocky Linux / AlmaLinux（7.x 及 8.x+）</w:t>
      </w:r>
      <w:r>
        <w:rPr>
          <w:rFonts w:hint="eastAsia" w:ascii="微软雅黑 Light" w:hAnsi="微软雅黑 Light" w:cs="微软雅黑 Light"/>
          <w:sz w:val="21"/>
          <w:szCs w:val="21"/>
          <w:lang w:eastAsia="zh-CN"/>
        </w:rPr>
        <w:t>，</w:t>
      </w:r>
      <w:r>
        <w:rPr>
          <w:rFonts w:hint="eastAsia" w:ascii="微软雅黑 Light" w:hAnsi="微软雅黑 Light" w:eastAsia="微软雅黑 Light" w:cs="微软雅黑 Light"/>
          <w:sz w:val="21"/>
          <w:szCs w:val="21"/>
        </w:rPr>
        <w:t>Ubuntu（20.04 LTS、22.04 LTS 及后续版本）</w:t>
      </w:r>
      <w:r>
        <w:rPr>
          <w:rFonts w:hint="eastAsia" w:ascii="微软雅黑 Light" w:hAnsi="微软雅黑 Light" w:cs="微软雅黑 Light"/>
          <w:sz w:val="21"/>
          <w:szCs w:val="21"/>
          <w:lang w:eastAsia="zh-CN"/>
        </w:rPr>
        <w:t>，</w:t>
      </w:r>
      <w:r>
        <w:rPr>
          <w:rFonts w:hint="eastAsia" w:ascii="微软雅黑 Light" w:hAnsi="微软雅黑 Light" w:eastAsia="微软雅黑 Light" w:cs="微软雅黑 Light"/>
          <w:sz w:val="21"/>
          <w:szCs w:val="21"/>
        </w:rPr>
        <w:t>Debian（11+）</w:t>
      </w:r>
      <w:r>
        <w:rPr>
          <w:rFonts w:hint="eastAsia" w:ascii="微软雅黑 Light" w:hAnsi="微软雅黑 Light" w:cs="微软雅黑 Light"/>
          <w:sz w:val="21"/>
          <w:szCs w:val="21"/>
          <w:lang w:eastAsia="zh-CN"/>
        </w:rPr>
        <w:t>，</w:t>
      </w:r>
      <w:r>
        <w:rPr>
          <w:rFonts w:hint="eastAsia" w:ascii="微软雅黑 Light" w:hAnsi="微软雅黑 Light" w:eastAsia="微软雅黑 Light" w:cs="微软雅黑 Light"/>
          <w:sz w:val="21"/>
          <w:szCs w:val="21"/>
        </w:rPr>
        <w:t>Red Hat Enterprise Linux（RHEL 8/9）</w:t>
      </w:r>
    </w:p>
    <w:p w14:paraId="6E5898D2">
      <w:pPr>
        <w:pStyle w:val="41"/>
        <w:adjustRightInd w:val="0"/>
        <w:snapToGrid w:val="0"/>
        <w:spacing w:line="360" w:lineRule="auto"/>
        <w:ind w:firstLineChars="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支持 systemd 服务管理、SELinux 安全策略及容器化部署（Docker/Podman），适用于高可用、高安全要求的生产环境。</w:t>
      </w:r>
    </w:p>
    <w:p w14:paraId="62E2E97B">
      <w:pPr>
        <w:pStyle w:val="41"/>
        <w:adjustRightInd w:val="0"/>
        <w:snapToGrid w:val="0"/>
        <w:spacing w:line="360" w:lineRule="auto"/>
        <w:ind w:firstLineChars="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国产操作系统（信创生态）</w:t>
      </w:r>
      <w:r>
        <w:rPr>
          <w:rFonts w:hint="eastAsia" w:ascii="微软雅黑 Light" w:hAnsi="微软雅黑 Light" w:cs="微软雅黑 Light"/>
          <w:sz w:val="21"/>
          <w:szCs w:val="21"/>
          <w:lang w:eastAsia="zh-CN"/>
        </w:rPr>
        <w:t>，</w:t>
      </w:r>
      <w:r>
        <w:rPr>
          <w:rFonts w:hint="eastAsia" w:ascii="微软雅黑 Light" w:hAnsi="微软雅黑 Light" w:eastAsia="微软雅黑 Light" w:cs="微软雅黑 Light"/>
          <w:sz w:val="21"/>
          <w:szCs w:val="21"/>
        </w:rPr>
        <w:t>积极响应国家信息技术应用创新战略，全面适配主流国产操作系统，已通过兼容性认证并稳定运行于：</w:t>
      </w:r>
    </w:p>
    <w:p w14:paraId="22789ED9">
      <w:pPr>
        <w:pStyle w:val="41"/>
        <w:adjustRightInd w:val="0"/>
        <w:snapToGrid w:val="0"/>
        <w:spacing w:line="360" w:lineRule="auto"/>
        <w:ind w:firstLineChars="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银河麒麟高级服务器操作系统（Kylin V10/V10 SP1/SP2）</w:t>
      </w:r>
      <w:r>
        <w:rPr>
          <w:rFonts w:hint="eastAsia" w:ascii="微软雅黑 Light" w:hAnsi="微软雅黑 Light" w:cs="微软雅黑 Light"/>
          <w:sz w:val="21"/>
          <w:szCs w:val="21"/>
          <w:lang w:eastAsia="zh-CN"/>
        </w:rPr>
        <w:t>，</w:t>
      </w:r>
      <w:r>
        <w:rPr>
          <w:rFonts w:hint="eastAsia" w:ascii="微软雅黑 Light" w:hAnsi="微软雅黑 Light" w:eastAsia="微软雅黑 Light" w:cs="微软雅黑 Light"/>
          <w:sz w:val="21"/>
          <w:szCs w:val="21"/>
        </w:rPr>
        <w:t>中标麒麟（NeoKylin）</w:t>
      </w:r>
      <w:r>
        <w:rPr>
          <w:rFonts w:hint="eastAsia" w:ascii="微软雅黑 Light" w:hAnsi="微软雅黑 Light" w:cs="微软雅黑 Light"/>
          <w:sz w:val="21"/>
          <w:szCs w:val="21"/>
          <w:lang w:eastAsia="zh-CN"/>
        </w:rPr>
        <w:t>，</w:t>
      </w:r>
      <w:r>
        <w:rPr>
          <w:rFonts w:hint="eastAsia" w:ascii="微软雅黑 Light" w:hAnsi="微软雅黑 Light" w:eastAsia="微软雅黑 Light" w:cs="微软雅黑 Light"/>
          <w:sz w:val="21"/>
          <w:szCs w:val="21"/>
        </w:rPr>
        <w:t>统信UOS（服务器版与桌面版）</w:t>
      </w:r>
    </w:p>
    <w:p w14:paraId="66C3A9B1">
      <w:pPr>
        <w:pStyle w:val="41"/>
        <w:adjustRightInd w:val="0"/>
        <w:snapToGrid w:val="0"/>
        <w:spacing w:line="360" w:lineRule="auto"/>
        <w:ind w:firstLineChars="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在国产芯片平台（如飞腾、鲲鹏、海光、龙芯等）上完成深度优化，满足党政、金融、能源等关键行业对自主可控、安全可信的系统要求。</w:t>
      </w:r>
    </w:p>
    <w:p w14:paraId="7CC9A7D1">
      <w:pPr>
        <w:pStyle w:val="4"/>
        <w:bidi w:val="0"/>
        <w:rPr>
          <w:rFonts w:hint="eastAsia" w:ascii="Arial" w:hAnsi="Arial" w:cs="Times New Roman"/>
        </w:rPr>
      </w:pPr>
      <w:bookmarkStart w:id="171" w:name="_Toc12498"/>
      <w:r>
        <w:rPr>
          <w:rFonts w:hint="eastAsia" w:ascii="Arial" w:hAnsi="Arial" w:cs="Times New Roman"/>
          <w:lang w:val="en-US" w:eastAsia="zh-CN"/>
        </w:rPr>
        <w:t>5.2.3</w:t>
      </w:r>
      <w:r>
        <w:rPr>
          <w:rFonts w:hint="eastAsia" w:ascii="Arial" w:hAnsi="Arial" w:cs="Times New Roman"/>
        </w:rPr>
        <w:t>硬件架构支持</w:t>
      </w:r>
      <w:bookmarkEnd w:id="171"/>
    </w:p>
    <w:p w14:paraId="7E8A94C3">
      <w:pPr>
        <w:pStyle w:val="41"/>
        <w:adjustRightInd w:val="0"/>
        <w:snapToGrid w:val="0"/>
        <w:spacing w:line="360" w:lineRule="auto"/>
        <w:ind w:firstLineChars="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为适应从传统数据中心到边缘计算、云原生等多种计算场景，本软件支持以下主流处理器架构：</w:t>
      </w:r>
    </w:p>
    <w:p w14:paraId="208B7C18">
      <w:pPr>
        <w:pStyle w:val="41"/>
        <w:adjustRightInd w:val="0"/>
        <w:snapToGrid w:val="0"/>
        <w:spacing w:line="360" w:lineRule="auto"/>
        <w:ind w:firstLineChars="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x86 架构：兼容 Intel 和 AMD 的 32 位处理器（IA-32），适用于老旧设备或特定嵌入式场景（部分功能受限）。</w:t>
      </w:r>
    </w:p>
    <w:p w14:paraId="292CC397">
      <w:pPr>
        <w:pStyle w:val="41"/>
        <w:adjustRightInd w:val="0"/>
        <w:snapToGrid w:val="0"/>
        <w:spacing w:line="360" w:lineRule="auto"/>
        <w:ind w:firstLineChars="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x84_64（AMD64/Intel 64）架构：全面支持 64 位 x86 处理器，是当前 Windows 与 Linux 服务器环境的主流架构，性能优异，生态完善。</w:t>
      </w:r>
    </w:p>
    <w:p w14:paraId="36FC4D24">
      <w:pPr>
        <w:pStyle w:val="41"/>
        <w:adjustRightInd w:val="0"/>
        <w:snapToGrid w:val="0"/>
        <w:spacing w:line="360" w:lineRule="auto"/>
        <w:ind w:firstLineChars="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AArch64（ARM64）架构：原生支持基于 ARMv8 指令集的 64 位处理器，包括：</w:t>
      </w:r>
    </w:p>
    <w:p w14:paraId="372ECA85">
      <w:pPr>
        <w:pStyle w:val="41"/>
        <w:adjustRightInd w:val="0"/>
        <w:snapToGrid w:val="0"/>
        <w:spacing w:line="360" w:lineRule="auto"/>
        <w:ind w:firstLineChars="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华为鲲鹏（Kunpeng）系列</w:t>
      </w:r>
    </w:p>
    <w:p w14:paraId="738EB6FA">
      <w:pPr>
        <w:pStyle w:val="41"/>
        <w:adjustRightInd w:val="0"/>
        <w:snapToGrid w:val="0"/>
        <w:spacing w:line="360" w:lineRule="auto"/>
        <w:ind w:firstLineChars="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飞腾（Phytium）FT-2000+/S5000 等</w:t>
      </w:r>
    </w:p>
    <w:p w14:paraId="0931F671">
      <w:pPr>
        <w:pStyle w:val="41"/>
        <w:adjustRightInd w:val="0"/>
        <w:snapToGrid w:val="0"/>
        <w:spacing w:line="360" w:lineRule="auto"/>
        <w:ind w:firstLineChars="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AWS Graviton、Ampere Altra 等云原生 ARM 芯片</w:t>
      </w:r>
    </w:p>
    <w:p w14:paraId="2915FF21">
      <w:pPr>
        <w:pStyle w:val="41"/>
        <w:adjustRightInd w:val="0"/>
        <w:snapToGrid w:val="0"/>
        <w:spacing w:line="360" w:lineRule="auto"/>
        <w:ind w:firstLineChars="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特别适用于低功耗、高密度部署场景，如边缘节点、绿色数据中心及信创云平台。</w:t>
      </w:r>
    </w:p>
    <w:p w14:paraId="3C41218C">
      <w:pPr>
        <w:pStyle w:val="41"/>
        <w:autoSpaceDE w:val="0"/>
        <w:autoSpaceDN w:val="0"/>
        <w:adjustRightInd w:val="0"/>
        <w:spacing w:line="360" w:lineRule="auto"/>
        <w:ind w:left="420" w:firstLine="0" w:firstLineChars="0"/>
        <w:rPr>
          <w:rFonts w:hint="eastAsia" w:ascii="微软雅黑 Light" w:hAnsi="微软雅黑 Light" w:eastAsia="微软雅黑 Light" w:cs="微软雅黑 Light"/>
          <w:sz w:val="21"/>
          <w:szCs w:val="21"/>
        </w:rPr>
      </w:pPr>
    </w:p>
    <w:p w14:paraId="5065114A">
      <w:pPr>
        <w:pStyle w:val="41"/>
        <w:autoSpaceDE w:val="0"/>
        <w:autoSpaceDN w:val="0"/>
        <w:adjustRightInd w:val="0"/>
        <w:spacing w:line="360" w:lineRule="auto"/>
        <w:ind w:left="420" w:firstLine="0" w:firstLineChars="0"/>
        <w:rPr>
          <w:rFonts w:hint="eastAsia" w:ascii="微软雅黑 Light" w:hAnsi="微软雅黑 Light" w:eastAsia="微软雅黑 Light" w:cs="微软雅黑 Light"/>
          <w:sz w:val="21"/>
          <w:szCs w:val="21"/>
        </w:rPr>
      </w:pPr>
    </w:p>
    <w:p w14:paraId="5DB7B93F">
      <w:r>
        <w:rPr>
          <w:rFonts w:ascii="Arial" w:hAnsi="Arial" w:eastAsia="微软雅黑"/>
          <w:b/>
          <w:color w:val="1F4E79"/>
          <w:sz w:val="30"/>
          <w:szCs w:val="30"/>
        </w:rPr>
        <w:br w:type="page"/>
      </w:r>
    </w:p>
    <w:p w14:paraId="758FB0BE">
      <w:pPr>
        <w:pStyle w:val="2"/>
        <w:spacing w:after="180" w:line="300" w:lineRule="auto"/>
        <w:rPr>
          <w:color w:val="auto"/>
        </w:rPr>
      </w:pPr>
      <w:bookmarkStart w:id="172" w:name="_Toc14792"/>
      <w:r>
        <w:rPr>
          <w:rFonts w:ascii="Arial" w:hAnsi="Arial" w:eastAsia="微软雅黑"/>
          <w:b/>
          <w:color w:val="auto"/>
          <w:sz w:val="30"/>
          <w:szCs w:val="30"/>
        </w:rPr>
        <w:t>能碳核算与碳交易扩展方案</w:t>
      </w:r>
      <w:bookmarkEnd w:id="172"/>
    </w:p>
    <w:p w14:paraId="0196EA35">
      <w:pPr>
        <w:spacing w:after="120" w:line="300" w:lineRule="auto"/>
      </w:pPr>
      <w:r>
        <w:rPr>
          <w:rFonts w:ascii="Arial" w:hAnsi="Arial" w:eastAsia="微软雅黑"/>
        </w:rPr>
        <w:t>本章基于《园区能碳管理系统综合解决方案V3.1.docx》整合形成，在原有能耗监测、建筑环境监测、能耗公示评价、报警和系统管理能力基础上，新增能碳核算、碳资产管理、能碳交易准备、MRV存证、数据安全和运营服务能力，使方案从“能耗管理系统”升级为“园区能碳管理系统”。</w:t>
      </w:r>
    </w:p>
    <w:p w14:paraId="45BF5FA3">
      <w:pPr>
        <w:pStyle w:val="3"/>
        <w:spacing w:after="140" w:line="300" w:lineRule="auto"/>
        <w:rPr>
          <w:color w:val="auto"/>
        </w:rPr>
      </w:pPr>
      <w:bookmarkStart w:id="173" w:name="_Toc19208"/>
      <w:r>
        <w:rPr>
          <w:rFonts w:hint="eastAsia" w:eastAsia="微软雅黑"/>
          <w:b/>
          <w:color w:val="auto"/>
          <w:sz w:val="24"/>
          <w:szCs w:val="24"/>
          <w:lang w:val="en-US" w:eastAsia="zh-CN"/>
        </w:rPr>
        <w:t>6</w:t>
      </w:r>
      <w:r>
        <w:rPr>
          <w:rFonts w:ascii="Arial" w:hAnsi="Arial" w:eastAsia="微软雅黑"/>
          <w:b/>
          <w:color w:val="auto"/>
          <w:sz w:val="24"/>
          <w:szCs w:val="24"/>
        </w:rPr>
        <w:t>.1 扩展建设目标与总体架构</w:t>
      </w:r>
      <w:bookmarkEnd w:id="173"/>
    </w:p>
    <w:p w14:paraId="712E29E8">
      <w:pPr>
        <w:spacing w:after="120" w:line="300" w:lineRule="auto"/>
        <w:ind w:firstLine="420" w:firstLineChars="200"/>
      </w:pPr>
      <w:r>
        <w:rPr>
          <w:rFonts w:ascii="Arial" w:hAnsi="Arial" w:eastAsia="微软雅黑"/>
        </w:rPr>
        <w:t>扩展后的系统面向园区管委会、物业运营方、重点控排企业、出口型企业和碳资产服务机构，形成“能耗监测—碳排核算—节能降碳—碳资产管理—交易决策支持”的闭环。系统不替代法定碳交易平台和第三方核查机构，而是提供可信数据、核算模型、合规报表和交易辅助决策。</w:t>
      </w:r>
    </w:p>
    <w:tbl>
      <w:tblPr>
        <w:tblStyle w:val="25"/>
        <w:tblW w:w="9026" w:type="dxa"/>
        <w:tblInd w:w="0" w:type="dxa"/>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Layout w:type="autofit"/>
        <w:tblCellMar>
          <w:top w:w="0" w:type="dxa"/>
          <w:left w:w="108" w:type="dxa"/>
          <w:bottom w:w="0" w:type="dxa"/>
          <w:right w:w="108" w:type="dxa"/>
        </w:tblCellMar>
      </w:tblPr>
      <w:tblGrid>
        <w:gridCol w:w="1200"/>
        <w:gridCol w:w="4700"/>
        <w:gridCol w:w="3126"/>
      </w:tblGrid>
      <w:tr w14:paraId="721A2650">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200" w:type="dxa"/>
            <w:shd w:val="clear" w:color="auto" w:fill="DCEEF7"/>
            <w:tcMar>
              <w:top w:w="90" w:type="dxa"/>
              <w:left w:w="120" w:type="dxa"/>
              <w:bottom w:w="90" w:type="dxa"/>
              <w:right w:w="120" w:type="dxa"/>
            </w:tcMar>
          </w:tcPr>
          <w:p w14:paraId="6930EBEB">
            <w:pPr>
              <w:spacing w:after="0" w:line="300" w:lineRule="auto"/>
            </w:pPr>
            <w:r>
              <w:rPr>
                <w:rFonts w:ascii="Arial" w:hAnsi="Arial" w:eastAsia="微软雅黑"/>
                <w:b/>
              </w:rPr>
              <w:t>层级</w:t>
            </w:r>
          </w:p>
        </w:tc>
        <w:tc>
          <w:tcPr>
            <w:tcW w:w="4700" w:type="dxa"/>
            <w:shd w:val="clear" w:color="auto" w:fill="DCEEF7"/>
            <w:tcMar>
              <w:top w:w="90" w:type="dxa"/>
              <w:left w:w="120" w:type="dxa"/>
              <w:bottom w:w="90" w:type="dxa"/>
              <w:right w:w="120" w:type="dxa"/>
            </w:tcMar>
          </w:tcPr>
          <w:p w14:paraId="76FD0A3B">
            <w:pPr>
              <w:spacing w:after="0" w:line="300" w:lineRule="auto"/>
            </w:pPr>
            <w:r>
              <w:rPr>
                <w:rFonts w:ascii="Arial" w:hAnsi="Arial" w:eastAsia="微软雅黑"/>
                <w:b/>
              </w:rPr>
              <w:t>扩展内容</w:t>
            </w:r>
          </w:p>
        </w:tc>
        <w:tc>
          <w:tcPr>
            <w:tcW w:w="3126" w:type="dxa"/>
            <w:shd w:val="clear" w:color="auto" w:fill="DCEEF7"/>
            <w:tcMar>
              <w:top w:w="90" w:type="dxa"/>
              <w:left w:w="120" w:type="dxa"/>
              <w:bottom w:w="90" w:type="dxa"/>
              <w:right w:w="120" w:type="dxa"/>
            </w:tcMar>
          </w:tcPr>
          <w:p w14:paraId="6831E930">
            <w:pPr>
              <w:spacing w:after="0" w:line="300" w:lineRule="auto"/>
            </w:pPr>
            <w:r>
              <w:rPr>
                <w:rFonts w:ascii="Arial" w:hAnsi="Arial" w:eastAsia="微软雅黑"/>
                <w:b/>
              </w:rPr>
              <w:t>建设价值</w:t>
            </w:r>
          </w:p>
        </w:tc>
      </w:tr>
      <w:tr w14:paraId="7953193F">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200" w:type="dxa"/>
            <w:shd w:val="clear" w:color="auto" w:fill="FFFFFF"/>
            <w:tcMar>
              <w:top w:w="90" w:type="dxa"/>
              <w:left w:w="120" w:type="dxa"/>
              <w:bottom w:w="90" w:type="dxa"/>
              <w:right w:w="120" w:type="dxa"/>
            </w:tcMar>
          </w:tcPr>
          <w:p w14:paraId="54FDA630">
            <w:pPr>
              <w:spacing w:after="0" w:line="300" w:lineRule="auto"/>
            </w:pPr>
            <w:r>
              <w:rPr>
                <w:rFonts w:ascii="Arial" w:hAnsi="Arial" w:eastAsia="微软雅黑"/>
              </w:rPr>
              <w:t>感知层</w:t>
            </w:r>
          </w:p>
        </w:tc>
        <w:tc>
          <w:tcPr>
            <w:tcW w:w="4700" w:type="dxa"/>
            <w:shd w:val="clear" w:color="auto" w:fill="FFFFFF"/>
            <w:tcMar>
              <w:top w:w="90" w:type="dxa"/>
              <w:left w:w="120" w:type="dxa"/>
              <w:bottom w:w="90" w:type="dxa"/>
              <w:right w:w="120" w:type="dxa"/>
            </w:tcMar>
          </w:tcPr>
          <w:p w14:paraId="34433C17">
            <w:pPr>
              <w:spacing w:after="0" w:line="300" w:lineRule="auto"/>
            </w:pPr>
            <w:r>
              <w:rPr>
                <w:rFonts w:ascii="Arial" w:hAnsi="Arial" w:eastAsia="微软雅黑"/>
              </w:rPr>
              <w:t>在原有电、水、冷热量计量基础上，补充燃气、蒸汽、光伏、储能、充电桩、环境和重点工艺活动数据采集。</w:t>
            </w:r>
          </w:p>
        </w:tc>
        <w:tc>
          <w:tcPr>
            <w:tcW w:w="3126" w:type="dxa"/>
            <w:shd w:val="clear" w:color="auto" w:fill="FFFFFF"/>
            <w:tcMar>
              <w:top w:w="90" w:type="dxa"/>
              <w:left w:w="120" w:type="dxa"/>
              <w:bottom w:w="90" w:type="dxa"/>
              <w:right w:w="120" w:type="dxa"/>
            </w:tcMar>
          </w:tcPr>
          <w:p w14:paraId="7A50B1D4">
            <w:pPr>
              <w:spacing w:after="0" w:line="300" w:lineRule="auto"/>
            </w:pPr>
            <w:r>
              <w:rPr>
                <w:rFonts w:ascii="Arial" w:hAnsi="Arial" w:eastAsia="微软雅黑"/>
              </w:rPr>
              <w:t>形成范围一、范围二及可选范围三核算所需的活动数据底座。</w:t>
            </w:r>
          </w:p>
        </w:tc>
      </w:tr>
      <w:tr w14:paraId="55188E17">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200" w:type="dxa"/>
            <w:shd w:val="clear" w:color="auto" w:fill="F7FBFD"/>
            <w:tcMar>
              <w:top w:w="90" w:type="dxa"/>
              <w:left w:w="120" w:type="dxa"/>
              <w:bottom w:w="90" w:type="dxa"/>
              <w:right w:w="120" w:type="dxa"/>
            </w:tcMar>
          </w:tcPr>
          <w:p w14:paraId="528C36CA">
            <w:pPr>
              <w:spacing w:after="0" w:line="300" w:lineRule="auto"/>
            </w:pPr>
            <w:r>
              <w:rPr>
                <w:rFonts w:ascii="Arial" w:hAnsi="Arial" w:eastAsia="微软雅黑"/>
              </w:rPr>
              <w:t>采集层</w:t>
            </w:r>
          </w:p>
        </w:tc>
        <w:tc>
          <w:tcPr>
            <w:tcW w:w="4700" w:type="dxa"/>
            <w:shd w:val="clear" w:color="auto" w:fill="F7FBFD"/>
            <w:tcMar>
              <w:top w:w="90" w:type="dxa"/>
              <w:left w:w="120" w:type="dxa"/>
              <w:bottom w:w="90" w:type="dxa"/>
              <w:right w:w="120" w:type="dxa"/>
            </w:tcMar>
          </w:tcPr>
          <w:p w14:paraId="4DA1ABC8">
            <w:pPr>
              <w:spacing w:after="0" w:line="300" w:lineRule="auto"/>
            </w:pPr>
            <w:r>
              <w:rPr>
                <w:rFonts w:ascii="Arial" w:hAnsi="Arial" w:eastAsia="微软雅黑"/>
              </w:rPr>
              <w:t>能耗数据采集终端支持Modbus、DL/T 645、CJ/T 188、BACnet、OPC UA、MQTT、HTTP API等协议。</w:t>
            </w:r>
          </w:p>
        </w:tc>
        <w:tc>
          <w:tcPr>
            <w:tcW w:w="3126" w:type="dxa"/>
            <w:shd w:val="clear" w:color="auto" w:fill="F7FBFD"/>
            <w:tcMar>
              <w:top w:w="90" w:type="dxa"/>
              <w:left w:w="120" w:type="dxa"/>
              <w:bottom w:w="90" w:type="dxa"/>
              <w:right w:w="120" w:type="dxa"/>
            </w:tcMar>
          </w:tcPr>
          <w:p w14:paraId="5ACBC2EA">
            <w:pPr>
              <w:spacing w:after="0" w:line="300" w:lineRule="auto"/>
            </w:pPr>
            <w:r>
              <w:rPr>
                <w:rFonts w:ascii="Arial" w:hAnsi="Arial" w:eastAsia="微软雅黑"/>
              </w:rPr>
              <w:t>适配既有建筑设备、能源站、BA/BMS系统和企业侧业务系统。</w:t>
            </w:r>
          </w:p>
        </w:tc>
      </w:tr>
      <w:tr w14:paraId="58022E97">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200" w:type="dxa"/>
            <w:shd w:val="clear" w:color="auto" w:fill="FFFFFF"/>
            <w:tcMar>
              <w:top w:w="90" w:type="dxa"/>
              <w:left w:w="120" w:type="dxa"/>
              <w:bottom w:w="90" w:type="dxa"/>
              <w:right w:w="120" w:type="dxa"/>
            </w:tcMar>
          </w:tcPr>
          <w:p w14:paraId="338188DB">
            <w:pPr>
              <w:spacing w:after="0" w:line="300" w:lineRule="auto"/>
            </w:pPr>
            <w:r>
              <w:rPr>
                <w:rFonts w:ascii="Arial" w:hAnsi="Arial" w:eastAsia="微软雅黑"/>
              </w:rPr>
              <w:t>数据层</w:t>
            </w:r>
          </w:p>
        </w:tc>
        <w:tc>
          <w:tcPr>
            <w:tcW w:w="4700" w:type="dxa"/>
            <w:shd w:val="clear" w:color="auto" w:fill="FFFFFF"/>
            <w:tcMar>
              <w:top w:w="90" w:type="dxa"/>
              <w:left w:w="120" w:type="dxa"/>
              <w:bottom w:w="90" w:type="dxa"/>
              <w:right w:w="120" w:type="dxa"/>
            </w:tcMar>
          </w:tcPr>
          <w:p w14:paraId="7964FA2B">
            <w:pPr>
              <w:spacing w:after="0" w:line="300" w:lineRule="auto"/>
            </w:pPr>
            <w:r>
              <w:rPr>
                <w:rFonts w:ascii="Arial" w:hAnsi="Arial" w:eastAsia="微软雅黑"/>
              </w:rPr>
              <w:t>建设能源数据、碳数据、因子库、组织边界、租户边界、项目边界和证据资料库。</w:t>
            </w:r>
          </w:p>
        </w:tc>
        <w:tc>
          <w:tcPr>
            <w:tcW w:w="3126" w:type="dxa"/>
            <w:shd w:val="clear" w:color="auto" w:fill="FFFFFF"/>
            <w:tcMar>
              <w:top w:w="90" w:type="dxa"/>
              <w:left w:w="120" w:type="dxa"/>
              <w:bottom w:w="90" w:type="dxa"/>
              <w:right w:w="120" w:type="dxa"/>
            </w:tcMar>
          </w:tcPr>
          <w:p w14:paraId="0900D833">
            <w:pPr>
              <w:spacing w:after="0" w:line="300" w:lineRule="auto"/>
            </w:pPr>
            <w:r>
              <w:rPr>
                <w:rFonts w:ascii="Arial" w:hAnsi="Arial" w:eastAsia="微软雅黑"/>
              </w:rPr>
              <w:t>保证碳核算数据可追溯、可复算、可审计。</w:t>
            </w:r>
          </w:p>
        </w:tc>
      </w:tr>
      <w:tr w14:paraId="3E225570">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200" w:type="dxa"/>
            <w:shd w:val="clear" w:color="auto" w:fill="F7FBFD"/>
            <w:tcMar>
              <w:top w:w="90" w:type="dxa"/>
              <w:left w:w="120" w:type="dxa"/>
              <w:bottom w:w="90" w:type="dxa"/>
              <w:right w:w="120" w:type="dxa"/>
            </w:tcMar>
          </w:tcPr>
          <w:p w14:paraId="7A92ECCA">
            <w:pPr>
              <w:spacing w:after="0" w:line="300" w:lineRule="auto"/>
            </w:pPr>
            <w:r>
              <w:rPr>
                <w:rFonts w:ascii="Arial" w:hAnsi="Arial" w:eastAsia="微软雅黑"/>
              </w:rPr>
              <w:t>应用层</w:t>
            </w:r>
          </w:p>
        </w:tc>
        <w:tc>
          <w:tcPr>
            <w:tcW w:w="4700" w:type="dxa"/>
            <w:shd w:val="clear" w:color="auto" w:fill="F7FBFD"/>
            <w:tcMar>
              <w:top w:w="90" w:type="dxa"/>
              <w:left w:w="120" w:type="dxa"/>
              <w:bottom w:w="90" w:type="dxa"/>
              <w:right w:w="120" w:type="dxa"/>
            </w:tcMar>
          </w:tcPr>
          <w:p w14:paraId="4C9A6694">
            <w:pPr>
              <w:spacing w:after="0" w:line="300" w:lineRule="auto"/>
            </w:pPr>
            <w:r>
              <w:rPr>
                <w:rFonts w:ascii="Arial" w:hAnsi="Arial" w:eastAsia="微软雅黑"/>
              </w:rPr>
              <w:t>新增能碳核算、碳账本、碳资产、交易准备、CCER项目、绿电绿证和报表中心。</w:t>
            </w:r>
          </w:p>
        </w:tc>
        <w:tc>
          <w:tcPr>
            <w:tcW w:w="3126" w:type="dxa"/>
            <w:shd w:val="clear" w:color="auto" w:fill="F7FBFD"/>
            <w:tcMar>
              <w:top w:w="90" w:type="dxa"/>
              <w:left w:w="120" w:type="dxa"/>
              <w:bottom w:w="90" w:type="dxa"/>
              <w:right w:w="120" w:type="dxa"/>
            </w:tcMar>
          </w:tcPr>
          <w:p w14:paraId="00339793">
            <w:pPr>
              <w:spacing w:after="0" w:line="300" w:lineRule="auto"/>
            </w:pPr>
            <w:r>
              <w:rPr>
                <w:rFonts w:ascii="Arial" w:hAnsi="Arial" w:eastAsia="微软雅黑"/>
              </w:rPr>
              <w:t>支撑园区低碳运营、企业合规和碳资产增值。</w:t>
            </w:r>
          </w:p>
        </w:tc>
      </w:tr>
      <w:tr w14:paraId="30485F74">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200" w:type="dxa"/>
            <w:shd w:val="clear" w:color="auto" w:fill="FFFFFF"/>
            <w:tcMar>
              <w:top w:w="90" w:type="dxa"/>
              <w:left w:w="120" w:type="dxa"/>
              <w:bottom w:w="90" w:type="dxa"/>
              <w:right w:w="120" w:type="dxa"/>
            </w:tcMar>
          </w:tcPr>
          <w:p w14:paraId="3A6B8ECF">
            <w:pPr>
              <w:spacing w:after="0" w:line="300" w:lineRule="auto"/>
            </w:pPr>
            <w:r>
              <w:rPr>
                <w:rFonts w:ascii="Arial" w:hAnsi="Arial" w:eastAsia="微软雅黑"/>
              </w:rPr>
              <w:t>展示层</w:t>
            </w:r>
          </w:p>
        </w:tc>
        <w:tc>
          <w:tcPr>
            <w:tcW w:w="4700" w:type="dxa"/>
            <w:shd w:val="clear" w:color="auto" w:fill="FFFFFF"/>
            <w:tcMar>
              <w:top w:w="90" w:type="dxa"/>
              <w:left w:w="120" w:type="dxa"/>
              <w:bottom w:w="90" w:type="dxa"/>
              <w:right w:w="120" w:type="dxa"/>
            </w:tcMar>
          </w:tcPr>
          <w:p w14:paraId="31338EA0">
            <w:pPr>
              <w:spacing w:after="0" w:line="300" w:lineRule="auto"/>
            </w:pPr>
            <w:r>
              <w:rPr>
                <w:rFonts w:ascii="Arial" w:hAnsi="Arial" w:eastAsia="微软雅黑"/>
              </w:rPr>
              <w:t>面向管委会、物业、企业租户和管理层提供大屏、Web端和移动端。</w:t>
            </w:r>
          </w:p>
        </w:tc>
        <w:tc>
          <w:tcPr>
            <w:tcW w:w="3126" w:type="dxa"/>
            <w:shd w:val="clear" w:color="auto" w:fill="FFFFFF"/>
            <w:tcMar>
              <w:top w:w="90" w:type="dxa"/>
              <w:left w:w="120" w:type="dxa"/>
              <w:bottom w:w="90" w:type="dxa"/>
              <w:right w:w="120" w:type="dxa"/>
            </w:tcMar>
          </w:tcPr>
          <w:p w14:paraId="4994BEC1">
            <w:pPr>
              <w:spacing w:after="0" w:line="300" w:lineRule="auto"/>
            </w:pPr>
            <w:r>
              <w:rPr>
                <w:rFonts w:ascii="Arial" w:hAnsi="Arial" w:eastAsia="微软雅黑"/>
              </w:rPr>
              <w:t>实现多角色、多权限、多维度的能碳可视化管理。</w:t>
            </w:r>
          </w:p>
        </w:tc>
      </w:tr>
    </w:tbl>
    <w:p w14:paraId="48D7B8CD">
      <w:pPr>
        <w:spacing w:after="120" w:line="300" w:lineRule="auto"/>
      </w:pPr>
    </w:p>
    <w:p w14:paraId="4C3023C2">
      <w:pPr>
        <w:pStyle w:val="3"/>
        <w:spacing w:after="140" w:line="300" w:lineRule="auto"/>
        <w:rPr>
          <w:rFonts w:hint="eastAsia" w:eastAsia="微软雅黑"/>
          <w:b/>
          <w:color w:val="auto"/>
          <w:sz w:val="24"/>
          <w:szCs w:val="24"/>
          <w:lang w:val="en-US" w:eastAsia="zh-CN"/>
        </w:rPr>
      </w:pPr>
      <w:bookmarkStart w:id="174" w:name="_Toc17615"/>
      <w:r>
        <w:rPr>
          <w:rFonts w:hint="eastAsia" w:eastAsia="微软雅黑"/>
          <w:b/>
          <w:color w:val="auto"/>
          <w:sz w:val="24"/>
          <w:szCs w:val="24"/>
          <w:lang w:val="en-US" w:eastAsia="zh-CN"/>
        </w:rPr>
        <w:t>6.2 政策背景与建设依据</w:t>
      </w:r>
      <w:bookmarkEnd w:id="174"/>
    </w:p>
    <w:p w14:paraId="3A11778B">
      <w:pPr>
        <w:spacing w:after="120" w:line="300" w:lineRule="auto"/>
      </w:pPr>
      <w:r>
        <w:rPr>
          <w:rFonts w:ascii="Arial" w:hAnsi="Arial" w:eastAsia="微软雅黑"/>
        </w:rPr>
        <w:t>国家正在从单一节能管理走向“能源消耗、碳排放、碳足迹、碳市场”协同监管。园区作为企业和建筑能源活动的集中载体，需要提前建设统一的能碳数据底座和核算体系，以适应碳市场扩围、排放报告核查、产品碳足迹、绿色电力和CCER等业务需求。</w:t>
      </w:r>
    </w:p>
    <w:tbl>
      <w:tblPr>
        <w:tblStyle w:val="25"/>
        <w:tblW w:w="9026" w:type="dxa"/>
        <w:tblInd w:w="0" w:type="dxa"/>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Layout w:type="autofit"/>
        <w:tblCellMar>
          <w:top w:w="0" w:type="dxa"/>
          <w:left w:w="108" w:type="dxa"/>
          <w:bottom w:w="0" w:type="dxa"/>
          <w:right w:w="108" w:type="dxa"/>
        </w:tblCellMar>
      </w:tblPr>
      <w:tblGrid>
        <w:gridCol w:w="1900"/>
        <w:gridCol w:w="3900"/>
        <w:gridCol w:w="3226"/>
      </w:tblGrid>
      <w:tr w14:paraId="49B61B9D">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900" w:type="dxa"/>
            <w:shd w:val="clear" w:color="auto" w:fill="DCEEF7"/>
            <w:tcMar>
              <w:top w:w="90" w:type="dxa"/>
              <w:left w:w="120" w:type="dxa"/>
              <w:bottom w:w="90" w:type="dxa"/>
              <w:right w:w="120" w:type="dxa"/>
            </w:tcMar>
          </w:tcPr>
          <w:p w14:paraId="4AE655F9">
            <w:pPr>
              <w:spacing w:after="0" w:line="300" w:lineRule="auto"/>
            </w:pPr>
            <w:r>
              <w:rPr>
                <w:rFonts w:ascii="Arial" w:hAnsi="Arial" w:eastAsia="微软雅黑"/>
                <w:b/>
              </w:rPr>
              <w:t>政策/标准方向</w:t>
            </w:r>
          </w:p>
        </w:tc>
        <w:tc>
          <w:tcPr>
            <w:tcW w:w="3900" w:type="dxa"/>
            <w:shd w:val="clear" w:color="auto" w:fill="DCEEF7"/>
            <w:tcMar>
              <w:top w:w="90" w:type="dxa"/>
              <w:left w:w="120" w:type="dxa"/>
              <w:bottom w:w="90" w:type="dxa"/>
              <w:right w:w="120" w:type="dxa"/>
            </w:tcMar>
          </w:tcPr>
          <w:p w14:paraId="642A8398">
            <w:pPr>
              <w:spacing w:after="0" w:line="300" w:lineRule="auto"/>
            </w:pPr>
            <w:r>
              <w:rPr>
                <w:rFonts w:ascii="Arial" w:hAnsi="Arial" w:eastAsia="微软雅黑"/>
                <w:b/>
              </w:rPr>
              <w:t>关键要求</w:t>
            </w:r>
          </w:p>
        </w:tc>
        <w:tc>
          <w:tcPr>
            <w:tcW w:w="3226" w:type="dxa"/>
            <w:shd w:val="clear" w:color="auto" w:fill="DCEEF7"/>
            <w:tcMar>
              <w:top w:w="90" w:type="dxa"/>
              <w:left w:w="120" w:type="dxa"/>
              <w:bottom w:w="90" w:type="dxa"/>
              <w:right w:w="120" w:type="dxa"/>
            </w:tcMar>
          </w:tcPr>
          <w:p w14:paraId="5D7AF6F3">
            <w:pPr>
              <w:spacing w:after="0" w:line="300" w:lineRule="auto"/>
            </w:pPr>
            <w:r>
              <w:rPr>
                <w:rFonts w:ascii="Arial" w:hAnsi="Arial" w:eastAsia="微软雅黑"/>
                <w:b/>
              </w:rPr>
              <w:t>对系统建设的影响</w:t>
            </w:r>
          </w:p>
        </w:tc>
      </w:tr>
      <w:tr w14:paraId="186078F6">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900" w:type="dxa"/>
            <w:shd w:val="clear" w:color="auto" w:fill="FFFFFF"/>
            <w:tcMar>
              <w:top w:w="90" w:type="dxa"/>
              <w:left w:w="120" w:type="dxa"/>
              <w:bottom w:w="90" w:type="dxa"/>
              <w:right w:w="120" w:type="dxa"/>
            </w:tcMar>
          </w:tcPr>
          <w:p w14:paraId="7F218F14">
            <w:pPr>
              <w:spacing w:after="0" w:line="300" w:lineRule="auto"/>
            </w:pPr>
            <w:r>
              <w:rPr>
                <w:rFonts w:ascii="Arial" w:hAnsi="Arial" w:eastAsia="微软雅黑"/>
              </w:rPr>
              <w:t>碳排放统计核算体系</w:t>
            </w:r>
          </w:p>
        </w:tc>
        <w:tc>
          <w:tcPr>
            <w:tcW w:w="3900" w:type="dxa"/>
            <w:shd w:val="clear" w:color="auto" w:fill="FFFFFF"/>
            <w:tcMar>
              <w:top w:w="90" w:type="dxa"/>
              <w:left w:w="120" w:type="dxa"/>
              <w:bottom w:w="90" w:type="dxa"/>
              <w:right w:w="120" w:type="dxa"/>
            </w:tcMar>
          </w:tcPr>
          <w:p w14:paraId="08FA526F">
            <w:pPr>
              <w:spacing w:after="0" w:line="300" w:lineRule="auto"/>
            </w:pPr>
            <w:r>
              <w:rPr>
                <w:rFonts w:ascii="Arial" w:hAnsi="Arial" w:eastAsia="微软雅黑"/>
              </w:rPr>
              <w:t>统一核算方法、数据来源、排放因子和报告机制，推动数字化基础设施建设。</w:t>
            </w:r>
          </w:p>
        </w:tc>
        <w:tc>
          <w:tcPr>
            <w:tcW w:w="3226" w:type="dxa"/>
            <w:shd w:val="clear" w:color="auto" w:fill="FFFFFF"/>
            <w:tcMar>
              <w:top w:w="90" w:type="dxa"/>
              <w:left w:w="120" w:type="dxa"/>
              <w:bottom w:w="90" w:type="dxa"/>
              <w:right w:w="120" w:type="dxa"/>
            </w:tcMar>
          </w:tcPr>
          <w:p w14:paraId="4E7ECF03">
            <w:pPr>
              <w:spacing w:after="0" w:line="300" w:lineRule="auto"/>
            </w:pPr>
            <w:r>
              <w:rPr>
                <w:rFonts w:ascii="Arial" w:hAnsi="Arial" w:eastAsia="微软雅黑"/>
              </w:rPr>
              <w:t>系统需内置核算边界、因子版本、数据质量和报告模板。</w:t>
            </w:r>
          </w:p>
        </w:tc>
      </w:tr>
      <w:tr w14:paraId="755AAF15">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900" w:type="dxa"/>
            <w:shd w:val="clear" w:color="auto" w:fill="F7FBFD"/>
            <w:tcMar>
              <w:top w:w="90" w:type="dxa"/>
              <w:left w:w="120" w:type="dxa"/>
              <w:bottom w:w="90" w:type="dxa"/>
              <w:right w:w="120" w:type="dxa"/>
            </w:tcMar>
          </w:tcPr>
          <w:p w14:paraId="3BBCA7FF">
            <w:pPr>
              <w:spacing w:after="0" w:line="300" w:lineRule="auto"/>
            </w:pPr>
            <w:r>
              <w:rPr>
                <w:rFonts w:ascii="Arial" w:hAnsi="Arial" w:eastAsia="微软雅黑"/>
              </w:rPr>
              <w:t>全国碳市场</w:t>
            </w:r>
          </w:p>
        </w:tc>
        <w:tc>
          <w:tcPr>
            <w:tcW w:w="3900" w:type="dxa"/>
            <w:shd w:val="clear" w:color="auto" w:fill="F7FBFD"/>
            <w:tcMar>
              <w:top w:w="90" w:type="dxa"/>
              <w:left w:w="120" w:type="dxa"/>
              <w:bottom w:w="90" w:type="dxa"/>
              <w:right w:w="120" w:type="dxa"/>
            </w:tcMar>
          </w:tcPr>
          <w:p w14:paraId="5FE7F8CB">
            <w:pPr>
              <w:spacing w:after="0" w:line="300" w:lineRule="auto"/>
            </w:pPr>
            <w:r>
              <w:rPr>
                <w:rFonts w:ascii="Arial" w:hAnsi="Arial" w:eastAsia="微软雅黑"/>
              </w:rPr>
              <w:t>围绕排放报告、核查、配额分配、清缴和处罚形成全流程管理要求。</w:t>
            </w:r>
          </w:p>
        </w:tc>
        <w:tc>
          <w:tcPr>
            <w:tcW w:w="3226" w:type="dxa"/>
            <w:shd w:val="clear" w:color="auto" w:fill="F7FBFD"/>
            <w:tcMar>
              <w:top w:w="90" w:type="dxa"/>
              <w:left w:w="120" w:type="dxa"/>
              <w:bottom w:w="90" w:type="dxa"/>
              <w:right w:w="120" w:type="dxa"/>
            </w:tcMar>
          </w:tcPr>
          <w:p w14:paraId="4960D33F">
            <w:pPr>
              <w:spacing w:after="0" w:line="300" w:lineRule="auto"/>
            </w:pPr>
            <w:r>
              <w:rPr>
                <w:rFonts w:ascii="Arial" w:hAnsi="Arial" w:eastAsia="微软雅黑"/>
              </w:rPr>
              <w:t>系统需支持重点排放单位和预备行业企业的月度存证、年度报告和履约日历。</w:t>
            </w:r>
          </w:p>
        </w:tc>
      </w:tr>
      <w:tr w14:paraId="34C4DA75">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900" w:type="dxa"/>
            <w:shd w:val="clear" w:color="auto" w:fill="FFFFFF"/>
            <w:tcMar>
              <w:top w:w="90" w:type="dxa"/>
              <w:left w:w="120" w:type="dxa"/>
              <w:bottom w:w="90" w:type="dxa"/>
              <w:right w:w="120" w:type="dxa"/>
            </w:tcMar>
          </w:tcPr>
          <w:p w14:paraId="00833213">
            <w:pPr>
              <w:spacing w:after="0" w:line="300" w:lineRule="auto"/>
            </w:pPr>
            <w:r>
              <w:rPr>
                <w:rFonts w:ascii="Arial" w:hAnsi="Arial" w:eastAsia="微软雅黑"/>
              </w:rPr>
              <w:t>产品碳足迹</w:t>
            </w:r>
          </w:p>
        </w:tc>
        <w:tc>
          <w:tcPr>
            <w:tcW w:w="3900" w:type="dxa"/>
            <w:shd w:val="clear" w:color="auto" w:fill="FFFFFF"/>
            <w:tcMar>
              <w:top w:w="90" w:type="dxa"/>
              <w:left w:w="120" w:type="dxa"/>
              <w:bottom w:w="90" w:type="dxa"/>
              <w:right w:w="120" w:type="dxa"/>
            </w:tcMar>
          </w:tcPr>
          <w:p w14:paraId="408289B8">
            <w:pPr>
              <w:spacing w:after="0" w:line="300" w:lineRule="auto"/>
            </w:pPr>
            <w:r>
              <w:rPr>
                <w:rFonts w:ascii="Arial" w:hAnsi="Arial" w:eastAsia="微软雅黑"/>
              </w:rPr>
              <w:t>建设产品碳足迹因子数据库、核算标准、标识认证和国际互认能力。</w:t>
            </w:r>
          </w:p>
        </w:tc>
        <w:tc>
          <w:tcPr>
            <w:tcW w:w="3226" w:type="dxa"/>
            <w:shd w:val="clear" w:color="auto" w:fill="FFFFFF"/>
            <w:tcMar>
              <w:top w:w="90" w:type="dxa"/>
              <w:left w:w="120" w:type="dxa"/>
              <w:bottom w:w="90" w:type="dxa"/>
              <w:right w:w="120" w:type="dxa"/>
            </w:tcMar>
          </w:tcPr>
          <w:p w14:paraId="54863608">
            <w:pPr>
              <w:spacing w:after="0" w:line="300" w:lineRule="auto"/>
            </w:pPr>
            <w:r>
              <w:rPr>
                <w:rFonts w:ascii="Arial" w:hAnsi="Arial" w:eastAsia="微软雅黑"/>
              </w:rPr>
              <w:t>系统需支持企业、产品、工序和供应链数据的归集与导出。</w:t>
            </w:r>
          </w:p>
        </w:tc>
      </w:tr>
      <w:tr w14:paraId="11D1096D">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900" w:type="dxa"/>
            <w:shd w:val="clear" w:color="auto" w:fill="F7FBFD"/>
            <w:tcMar>
              <w:top w:w="90" w:type="dxa"/>
              <w:left w:w="120" w:type="dxa"/>
              <w:bottom w:w="90" w:type="dxa"/>
              <w:right w:w="120" w:type="dxa"/>
            </w:tcMar>
          </w:tcPr>
          <w:p w14:paraId="1BD07C8A">
            <w:pPr>
              <w:spacing w:after="0" w:line="300" w:lineRule="auto"/>
            </w:pPr>
            <w:r>
              <w:rPr>
                <w:rFonts w:ascii="Arial" w:hAnsi="Arial" w:eastAsia="微软雅黑"/>
              </w:rPr>
              <w:t>CCER自愿减排</w:t>
            </w:r>
          </w:p>
        </w:tc>
        <w:tc>
          <w:tcPr>
            <w:tcW w:w="3900" w:type="dxa"/>
            <w:shd w:val="clear" w:color="auto" w:fill="F7FBFD"/>
            <w:tcMar>
              <w:top w:w="90" w:type="dxa"/>
              <w:left w:w="120" w:type="dxa"/>
              <w:bottom w:w="90" w:type="dxa"/>
              <w:right w:w="120" w:type="dxa"/>
            </w:tcMar>
          </w:tcPr>
          <w:p w14:paraId="75AFF8E2">
            <w:pPr>
              <w:spacing w:after="0" w:line="300" w:lineRule="auto"/>
            </w:pPr>
            <w:r>
              <w:rPr>
                <w:rFonts w:ascii="Arial" w:hAnsi="Arial" w:eastAsia="微软雅黑"/>
              </w:rPr>
              <w:t>方法学是碳资产开发的核心工具，建筑节能、可再生能源等项目具备开发空间。</w:t>
            </w:r>
          </w:p>
        </w:tc>
        <w:tc>
          <w:tcPr>
            <w:tcW w:w="3226" w:type="dxa"/>
            <w:shd w:val="clear" w:color="auto" w:fill="F7FBFD"/>
            <w:tcMar>
              <w:top w:w="90" w:type="dxa"/>
              <w:left w:w="120" w:type="dxa"/>
              <w:bottom w:w="90" w:type="dxa"/>
              <w:right w:w="120" w:type="dxa"/>
            </w:tcMar>
          </w:tcPr>
          <w:p w14:paraId="3820DCA3">
            <w:pPr>
              <w:spacing w:after="0" w:line="300" w:lineRule="auto"/>
            </w:pPr>
            <w:r>
              <w:rPr>
                <w:rFonts w:ascii="Arial" w:hAnsi="Arial" w:eastAsia="微软雅黑"/>
              </w:rPr>
              <w:t>系统需支持项目边界、基线、监测计划、减排量和核证资料管理。</w:t>
            </w:r>
          </w:p>
        </w:tc>
      </w:tr>
      <w:tr w14:paraId="062823B8">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900" w:type="dxa"/>
            <w:shd w:val="clear" w:color="auto" w:fill="FFFFFF"/>
            <w:tcMar>
              <w:top w:w="90" w:type="dxa"/>
              <w:left w:w="120" w:type="dxa"/>
              <w:bottom w:w="90" w:type="dxa"/>
              <w:right w:w="120" w:type="dxa"/>
            </w:tcMar>
          </w:tcPr>
          <w:p w14:paraId="69C5605B">
            <w:pPr>
              <w:spacing w:after="0" w:line="300" w:lineRule="auto"/>
            </w:pPr>
            <w:r>
              <w:rPr>
                <w:rFonts w:ascii="Arial" w:hAnsi="Arial" w:eastAsia="微软雅黑"/>
              </w:rPr>
              <w:t>能耗在线监测</w:t>
            </w:r>
          </w:p>
        </w:tc>
        <w:tc>
          <w:tcPr>
            <w:tcW w:w="3900" w:type="dxa"/>
            <w:shd w:val="clear" w:color="auto" w:fill="FFFFFF"/>
            <w:tcMar>
              <w:top w:w="90" w:type="dxa"/>
              <w:left w:w="120" w:type="dxa"/>
              <w:bottom w:w="90" w:type="dxa"/>
              <w:right w:w="120" w:type="dxa"/>
            </w:tcMar>
          </w:tcPr>
          <w:p w14:paraId="2844DB42">
            <w:pPr>
              <w:spacing w:after="0" w:line="300" w:lineRule="auto"/>
            </w:pPr>
            <w:r>
              <w:rPr>
                <w:rFonts w:ascii="Arial" w:hAnsi="Arial" w:eastAsia="微软雅黑"/>
              </w:rPr>
              <w:t>重点用能单位需建立在线采集、数据报送和能源计量管理能力。</w:t>
            </w:r>
          </w:p>
        </w:tc>
        <w:tc>
          <w:tcPr>
            <w:tcW w:w="3226" w:type="dxa"/>
            <w:shd w:val="clear" w:color="auto" w:fill="FFFFFF"/>
            <w:tcMar>
              <w:top w:w="90" w:type="dxa"/>
              <w:left w:w="120" w:type="dxa"/>
              <w:bottom w:w="90" w:type="dxa"/>
              <w:right w:w="120" w:type="dxa"/>
            </w:tcMar>
          </w:tcPr>
          <w:p w14:paraId="5AFD949F">
            <w:pPr>
              <w:spacing w:after="0" w:line="300" w:lineRule="auto"/>
            </w:pPr>
            <w:r>
              <w:rPr>
                <w:rFonts w:ascii="Arial" w:hAnsi="Arial" w:eastAsia="微软雅黑"/>
              </w:rPr>
              <w:t>系统需保证采集完整性、准确性、连续性和接口适配能力。</w:t>
            </w:r>
          </w:p>
        </w:tc>
      </w:tr>
    </w:tbl>
    <w:p w14:paraId="4FF18255">
      <w:pPr>
        <w:spacing w:after="120" w:line="300" w:lineRule="auto"/>
      </w:pPr>
    </w:p>
    <w:p w14:paraId="549188C4">
      <w:pPr>
        <w:pStyle w:val="3"/>
        <w:spacing w:after="140" w:line="300" w:lineRule="auto"/>
        <w:rPr>
          <w:rFonts w:hint="eastAsia" w:eastAsia="微软雅黑"/>
          <w:b/>
          <w:color w:val="auto"/>
          <w:sz w:val="24"/>
          <w:szCs w:val="24"/>
          <w:lang w:val="en-US" w:eastAsia="zh-CN"/>
        </w:rPr>
      </w:pPr>
      <w:bookmarkStart w:id="175" w:name="_Toc31002"/>
      <w:r>
        <w:rPr>
          <w:rFonts w:hint="eastAsia" w:eastAsia="微软雅黑"/>
          <w:b/>
          <w:color w:val="auto"/>
          <w:sz w:val="24"/>
          <w:szCs w:val="24"/>
          <w:lang w:val="en-US" w:eastAsia="zh-CN"/>
        </w:rPr>
        <w:t>6.3 能碳核算体系</w:t>
      </w:r>
      <w:bookmarkEnd w:id="175"/>
    </w:p>
    <w:p w14:paraId="425D92F0">
      <w:pPr>
        <w:pStyle w:val="4"/>
        <w:spacing w:after="100" w:line="300" w:lineRule="auto"/>
      </w:pPr>
      <w:bookmarkStart w:id="176" w:name="_Toc14531"/>
      <w:r>
        <w:rPr>
          <w:rFonts w:hint="eastAsia" w:eastAsia="微软雅黑"/>
          <w:b/>
          <w:color w:val="404040"/>
          <w:sz w:val="22"/>
          <w:szCs w:val="22"/>
          <w:lang w:val="en-US" w:eastAsia="zh-CN"/>
        </w:rPr>
        <w:t>6</w:t>
      </w:r>
      <w:r>
        <w:rPr>
          <w:rFonts w:ascii="Arial" w:hAnsi="Arial" w:eastAsia="微软雅黑"/>
          <w:b/>
          <w:color w:val="404040"/>
          <w:sz w:val="22"/>
          <w:szCs w:val="22"/>
        </w:rPr>
        <w:t>.3.1 核算层级与边界</w:t>
      </w:r>
      <w:bookmarkEnd w:id="176"/>
    </w:p>
    <w:p w14:paraId="112A4D76">
      <w:pPr>
        <w:spacing w:after="120" w:line="300" w:lineRule="auto"/>
      </w:pPr>
      <w:r>
        <w:rPr>
          <w:rFonts w:ascii="Arial" w:hAnsi="Arial" w:eastAsia="微软雅黑"/>
        </w:rPr>
        <w:t>系统支持园区级、企业级、设施级、产品级和项目级五类核算边界。园区级用于低碳园区评价和管理决策；企业级用于租户碳盘查、控排或预备行业报告；设施级用于重点排放源分析；产品级用于产品碳足迹和出口合规；项目级用于节能改造、CCER和绿色金融。</w:t>
      </w:r>
    </w:p>
    <w:tbl>
      <w:tblPr>
        <w:tblStyle w:val="25"/>
        <w:tblW w:w="9026" w:type="dxa"/>
        <w:tblInd w:w="0" w:type="dxa"/>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Layout w:type="autofit"/>
        <w:tblCellMar>
          <w:top w:w="0" w:type="dxa"/>
          <w:left w:w="108" w:type="dxa"/>
          <w:bottom w:w="0" w:type="dxa"/>
          <w:right w:w="108" w:type="dxa"/>
        </w:tblCellMar>
      </w:tblPr>
      <w:tblGrid>
        <w:gridCol w:w="1600"/>
        <w:gridCol w:w="4300"/>
        <w:gridCol w:w="3126"/>
      </w:tblGrid>
      <w:tr w14:paraId="3AAF88EA">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600" w:type="dxa"/>
            <w:shd w:val="clear" w:color="auto" w:fill="DCEEF7"/>
            <w:tcMar>
              <w:top w:w="90" w:type="dxa"/>
              <w:left w:w="120" w:type="dxa"/>
              <w:bottom w:w="90" w:type="dxa"/>
              <w:right w:w="120" w:type="dxa"/>
            </w:tcMar>
          </w:tcPr>
          <w:p w14:paraId="074D24B4">
            <w:pPr>
              <w:spacing w:after="0" w:line="300" w:lineRule="auto"/>
            </w:pPr>
            <w:r>
              <w:rPr>
                <w:rFonts w:ascii="Arial" w:hAnsi="Arial" w:eastAsia="微软雅黑"/>
                <w:b/>
              </w:rPr>
              <w:t>核算层级</w:t>
            </w:r>
          </w:p>
        </w:tc>
        <w:tc>
          <w:tcPr>
            <w:tcW w:w="4300" w:type="dxa"/>
            <w:shd w:val="clear" w:color="auto" w:fill="DCEEF7"/>
            <w:tcMar>
              <w:top w:w="90" w:type="dxa"/>
              <w:left w:w="120" w:type="dxa"/>
              <w:bottom w:w="90" w:type="dxa"/>
              <w:right w:w="120" w:type="dxa"/>
            </w:tcMar>
          </w:tcPr>
          <w:p w14:paraId="4E382B1C">
            <w:pPr>
              <w:spacing w:after="0" w:line="300" w:lineRule="auto"/>
            </w:pPr>
            <w:r>
              <w:rPr>
                <w:rFonts w:ascii="Arial" w:hAnsi="Arial" w:eastAsia="微软雅黑"/>
                <w:b/>
              </w:rPr>
              <w:t>核算方法</w:t>
            </w:r>
          </w:p>
        </w:tc>
        <w:tc>
          <w:tcPr>
            <w:tcW w:w="3126" w:type="dxa"/>
            <w:shd w:val="clear" w:color="auto" w:fill="DCEEF7"/>
            <w:tcMar>
              <w:top w:w="90" w:type="dxa"/>
              <w:left w:w="120" w:type="dxa"/>
              <w:bottom w:w="90" w:type="dxa"/>
              <w:right w:w="120" w:type="dxa"/>
            </w:tcMar>
          </w:tcPr>
          <w:p w14:paraId="5F3E8629">
            <w:pPr>
              <w:spacing w:after="0" w:line="300" w:lineRule="auto"/>
            </w:pPr>
            <w:r>
              <w:rPr>
                <w:rFonts w:ascii="Arial" w:hAnsi="Arial" w:eastAsia="微软雅黑"/>
                <w:b/>
              </w:rPr>
              <w:t>适用场景</w:t>
            </w:r>
          </w:p>
        </w:tc>
      </w:tr>
      <w:tr w14:paraId="7E850B78">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PrEx>
        <w:tc>
          <w:tcPr>
            <w:tcW w:w="1600" w:type="dxa"/>
            <w:shd w:val="clear" w:color="auto" w:fill="FFFFFF"/>
            <w:tcMar>
              <w:top w:w="90" w:type="dxa"/>
              <w:left w:w="120" w:type="dxa"/>
              <w:bottom w:w="90" w:type="dxa"/>
              <w:right w:w="120" w:type="dxa"/>
            </w:tcMar>
          </w:tcPr>
          <w:p w14:paraId="77F83071">
            <w:pPr>
              <w:spacing w:after="0" w:line="300" w:lineRule="auto"/>
            </w:pPr>
            <w:r>
              <w:rPr>
                <w:rFonts w:ascii="Arial" w:hAnsi="Arial" w:eastAsia="微软雅黑"/>
              </w:rPr>
              <w:t>园区级</w:t>
            </w:r>
          </w:p>
        </w:tc>
        <w:tc>
          <w:tcPr>
            <w:tcW w:w="4300" w:type="dxa"/>
            <w:shd w:val="clear" w:color="auto" w:fill="FFFFFF"/>
            <w:tcMar>
              <w:top w:w="90" w:type="dxa"/>
              <w:left w:w="120" w:type="dxa"/>
              <w:bottom w:w="90" w:type="dxa"/>
              <w:right w:w="120" w:type="dxa"/>
            </w:tcMar>
          </w:tcPr>
          <w:p w14:paraId="674C3924">
            <w:pPr>
              <w:spacing w:after="0" w:line="300" w:lineRule="auto"/>
            </w:pPr>
            <w:r>
              <w:rPr>
                <w:rFonts w:ascii="Arial" w:hAnsi="Arial" w:eastAsia="微软雅黑"/>
              </w:rPr>
              <w:t>园区边界内能源活动、建筑运行和企业活动数据汇总核算。</w:t>
            </w:r>
          </w:p>
        </w:tc>
        <w:tc>
          <w:tcPr>
            <w:tcW w:w="3126" w:type="dxa"/>
            <w:shd w:val="clear" w:color="auto" w:fill="FFFFFF"/>
            <w:tcMar>
              <w:top w:w="90" w:type="dxa"/>
              <w:left w:w="120" w:type="dxa"/>
              <w:bottom w:w="90" w:type="dxa"/>
              <w:right w:w="120" w:type="dxa"/>
            </w:tcMar>
          </w:tcPr>
          <w:p w14:paraId="16F04637">
            <w:pPr>
              <w:spacing w:after="0" w:line="300" w:lineRule="auto"/>
            </w:pPr>
            <w:r>
              <w:rPr>
                <w:rFonts w:ascii="Arial" w:hAnsi="Arial" w:eastAsia="微软雅黑"/>
              </w:rPr>
              <w:t>低碳园区建设、区域能碳驾驶舱、管委会决策。</w:t>
            </w:r>
          </w:p>
        </w:tc>
      </w:tr>
      <w:tr w14:paraId="691B4491">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600" w:type="dxa"/>
            <w:shd w:val="clear" w:color="auto" w:fill="F7FBFD"/>
            <w:tcMar>
              <w:top w:w="90" w:type="dxa"/>
              <w:left w:w="120" w:type="dxa"/>
              <w:bottom w:w="90" w:type="dxa"/>
              <w:right w:w="120" w:type="dxa"/>
            </w:tcMar>
          </w:tcPr>
          <w:p w14:paraId="72B882C8">
            <w:pPr>
              <w:spacing w:after="0" w:line="300" w:lineRule="auto"/>
            </w:pPr>
            <w:r>
              <w:rPr>
                <w:rFonts w:ascii="Arial" w:hAnsi="Arial" w:eastAsia="微软雅黑"/>
              </w:rPr>
              <w:t>企业级</w:t>
            </w:r>
          </w:p>
        </w:tc>
        <w:tc>
          <w:tcPr>
            <w:tcW w:w="4300" w:type="dxa"/>
            <w:shd w:val="clear" w:color="auto" w:fill="F7FBFD"/>
            <w:tcMar>
              <w:top w:w="90" w:type="dxa"/>
              <w:left w:w="120" w:type="dxa"/>
              <w:bottom w:w="90" w:type="dxa"/>
              <w:right w:w="120" w:type="dxa"/>
            </w:tcMar>
          </w:tcPr>
          <w:p w14:paraId="18E9B0BE">
            <w:pPr>
              <w:spacing w:after="0" w:line="300" w:lineRule="auto"/>
            </w:pPr>
            <w:r>
              <w:rPr>
                <w:rFonts w:ascii="Arial" w:hAnsi="Arial" w:eastAsia="微软雅黑"/>
              </w:rPr>
              <w:t>活动数据×排放因子，覆盖范围一、范围二及可选范围三。</w:t>
            </w:r>
          </w:p>
        </w:tc>
        <w:tc>
          <w:tcPr>
            <w:tcW w:w="3126" w:type="dxa"/>
            <w:shd w:val="clear" w:color="auto" w:fill="F7FBFD"/>
            <w:tcMar>
              <w:top w:w="90" w:type="dxa"/>
              <w:left w:w="120" w:type="dxa"/>
              <w:bottom w:w="90" w:type="dxa"/>
              <w:right w:w="120" w:type="dxa"/>
            </w:tcMar>
          </w:tcPr>
          <w:p w14:paraId="04DB5359">
            <w:pPr>
              <w:spacing w:after="0" w:line="300" w:lineRule="auto"/>
            </w:pPr>
            <w:r>
              <w:rPr>
                <w:rFonts w:ascii="Arial" w:hAnsi="Arial" w:eastAsia="微软雅黑"/>
              </w:rPr>
              <w:t>企业碳排放核算、报告、核查和履约准备。</w:t>
            </w:r>
          </w:p>
        </w:tc>
      </w:tr>
      <w:tr w14:paraId="72FF1FE2">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600" w:type="dxa"/>
            <w:shd w:val="clear" w:color="auto" w:fill="FFFFFF"/>
            <w:tcMar>
              <w:top w:w="90" w:type="dxa"/>
              <w:left w:w="120" w:type="dxa"/>
              <w:bottom w:w="90" w:type="dxa"/>
              <w:right w:w="120" w:type="dxa"/>
            </w:tcMar>
          </w:tcPr>
          <w:p w14:paraId="20D63C2F">
            <w:pPr>
              <w:spacing w:after="0" w:line="300" w:lineRule="auto"/>
            </w:pPr>
            <w:r>
              <w:rPr>
                <w:rFonts w:ascii="Arial" w:hAnsi="Arial" w:eastAsia="微软雅黑"/>
              </w:rPr>
              <w:t>设施级</w:t>
            </w:r>
          </w:p>
        </w:tc>
        <w:tc>
          <w:tcPr>
            <w:tcW w:w="4300" w:type="dxa"/>
            <w:shd w:val="clear" w:color="auto" w:fill="FFFFFF"/>
            <w:tcMar>
              <w:top w:w="90" w:type="dxa"/>
              <w:left w:w="120" w:type="dxa"/>
              <w:bottom w:w="90" w:type="dxa"/>
              <w:right w:w="120" w:type="dxa"/>
            </w:tcMar>
          </w:tcPr>
          <w:p w14:paraId="5FED3D18">
            <w:pPr>
              <w:spacing w:after="0" w:line="300" w:lineRule="auto"/>
            </w:pPr>
            <w:r>
              <w:rPr>
                <w:rFonts w:ascii="Arial" w:hAnsi="Arial" w:eastAsia="微软雅黑"/>
              </w:rPr>
              <w:t>按锅炉、冷站、变压器、生产线、充电站等设施建立排放台账。</w:t>
            </w:r>
          </w:p>
        </w:tc>
        <w:tc>
          <w:tcPr>
            <w:tcW w:w="3126" w:type="dxa"/>
            <w:shd w:val="clear" w:color="auto" w:fill="FFFFFF"/>
            <w:tcMar>
              <w:top w:w="90" w:type="dxa"/>
              <w:left w:w="120" w:type="dxa"/>
              <w:bottom w:w="90" w:type="dxa"/>
              <w:right w:w="120" w:type="dxa"/>
            </w:tcMar>
          </w:tcPr>
          <w:p w14:paraId="2637BCDF">
            <w:pPr>
              <w:spacing w:after="0" w:line="300" w:lineRule="auto"/>
            </w:pPr>
            <w:r>
              <w:rPr>
                <w:rFonts w:ascii="Arial" w:hAnsi="Arial" w:eastAsia="微软雅黑"/>
              </w:rPr>
              <w:t>重点排放源识别、节能诊断和运行优化。</w:t>
            </w:r>
          </w:p>
        </w:tc>
      </w:tr>
      <w:tr w14:paraId="41BFBE7A">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600" w:type="dxa"/>
            <w:shd w:val="clear" w:color="auto" w:fill="F7FBFD"/>
            <w:tcMar>
              <w:top w:w="90" w:type="dxa"/>
              <w:left w:w="120" w:type="dxa"/>
              <w:bottom w:w="90" w:type="dxa"/>
              <w:right w:w="120" w:type="dxa"/>
            </w:tcMar>
          </w:tcPr>
          <w:p w14:paraId="101BD17C">
            <w:pPr>
              <w:spacing w:after="0" w:line="300" w:lineRule="auto"/>
            </w:pPr>
            <w:r>
              <w:rPr>
                <w:rFonts w:ascii="Arial" w:hAnsi="Arial" w:eastAsia="微软雅黑"/>
              </w:rPr>
              <w:t>产品级</w:t>
            </w:r>
          </w:p>
        </w:tc>
        <w:tc>
          <w:tcPr>
            <w:tcW w:w="4300" w:type="dxa"/>
            <w:shd w:val="clear" w:color="auto" w:fill="F7FBFD"/>
            <w:tcMar>
              <w:top w:w="90" w:type="dxa"/>
              <w:left w:w="120" w:type="dxa"/>
              <w:bottom w:w="90" w:type="dxa"/>
              <w:right w:w="120" w:type="dxa"/>
            </w:tcMar>
          </w:tcPr>
          <w:p w14:paraId="64A40223">
            <w:pPr>
              <w:spacing w:after="0" w:line="300" w:lineRule="auto"/>
            </w:pPr>
            <w:r>
              <w:rPr>
                <w:rFonts w:ascii="Arial" w:hAnsi="Arial" w:eastAsia="微软雅黑"/>
              </w:rPr>
              <w:t>按产品生命周期或指定边界采集能源、物料、工序和运输数据。</w:t>
            </w:r>
          </w:p>
        </w:tc>
        <w:tc>
          <w:tcPr>
            <w:tcW w:w="3126" w:type="dxa"/>
            <w:shd w:val="clear" w:color="auto" w:fill="F7FBFD"/>
            <w:tcMar>
              <w:top w:w="90" w:type="dxa"/>
              <w:left w:w="120" w:type="dxa"/>
              <w:bottom w:w="90" w:type="dxa"/>
              <w:right w:w="120" w:type="dxa"/>
            </w:tcMar>
          </w:tcPr>
          <w:p w14:paraId="739BF041">
            <w:pPr>
              <w:spacing w:after="0" w:line="300" w:lineRule="auto"/>
            </w:pPr>
            <w:r>
              <w:rPr>
                <w:rFonts w:ascii="Arial" w:hAnsi="Arial" w:eastAsia="微软雅黑"/>
              </w:rPr>
              <w:t>产品碳足迹、供应链低碳管理、CBAM等国际贸易要求。</w:t>
            </w:r>
          </w:p>
        </w:tc>
      </w:tr>
      <w:tr w14:paraId="4AA61DED">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600" w:type="dxa"/>
            <w:shd w:val="clear" w:color="auto" w:fill="FFFFFF"/>
            <w:tcMar>
              <w:top w:w="90" w:type="dxa"/>
              <w:left w:w="120" w:type="dxa"/>
              <w:bottom w:w="90" w:type="dxa"/>
              <w:right w:w="120" w:type="dxa"/>
            </w:tcMar>
          </w:tcPr>
          <w:p w14:paraId="389380C6">
            <w:pPr>
              <w:spacing w:after="0" w:line="300" w:lineRule="auto"/>
            </w:pPr>
            <w:r>
              <w:rPr>
                <w:rFonts w:ascii="Arial" w:hAnsi="Arial" w:eastAsia="微软雅黑"/>
              </w:rPr>
              <w:t>项目级</w:t>
            </w:r>
          </w:p>
        </w:tc>
        <w:tc>
          <w:tcPr>
            <w:tcW w:w="4300" w:type="dxa"/>
            <w:shd w:val="clear" w:color="auto" w:fill="FFFFFF"/>
            <w:tcMar>
              <w:top w:w="90" w:type="dxa"/>
              <w:left w:w="120" w:type="dxa"/>
              <w:bottom w:w="90" w:type="dxa"/>
              <w:right w:w="120" w:type="dxa"/>
            </w:tcMar>
          </w:tcPr>
          <w:p w14:paraId="7597751F">
            <w:pPr>
              <w:spacing w:after="0" w:line="300" w:lineRule="auto"/>
            </w:pPr>
            <w:r>
              <w:rPr>
                <w:rFonts w:ascii="Arial" w:hAnsi="Arial" w:eastAsia="微软雅黑"/>
              </w:rPr>
              <w:t>建立基线情景、项目情景和监测参数，计算节能量与减排量。</w:t>
            </w:r>
          </w:p>
        </w:tc>
        <w:tc>
          <w:tcPr>
            <w:tcW w:w="3126" w:type="dxa"/>
            <w:shd w:val="clear" w:color="auto" w:fill="FFFFFF"/>
            <w:tcMar>
              <w:top w:w="90" w:type="dxa"/>
              <w:left w:w="120" w:type="dxa"/>
              <w:bottom w:w="90" w:type="dxa"/>
              <w:right w:w="120" w:type="dxa"/>
            </w:tcMar>
          </w:tcPr>
          <w:p w14:paraId="3DFA02BF">
            <w:pPr>
              <w:spacing w:after="0" w:line="300" w:lineRule="auto"/>
            </w:pPr>
            <w:r>
              <w:rPr>
                <w:rFonts w:ascii="Arial" w:hAnsi="Arial" w:eastAsia="微软雅黑"/>
              </w:rPr>
              <w:t>CCER、合同能源管理、绿色金融和节能收益评估。</w:t>
            </w:r>
          </w:p>
        </w:tc>
      </w:tr>
    </w:tbl>
    <w:p w14:paraId="04F83D53">
      <w:pPr>
        <w:spacing w:after="120" w:line="300" w:lineRule="auto"/>
      </w:pPr>
    </w:p>
    <w:p w14:paraId="21AF86C7">
      <w:pPr>
        <w:pStyle w:val="4"/>
        <w:spacing w:after="100" w:line="300" w:lineRule="auto"/>
      </w:pPr>
      <w:bookmarkStart w:id="177" w:name="_Toc24535"/>
      <w:r>
        <w:rPr>
          <w:rFonts w:hint="eastAsia" w:eastAsia="微软雅黑"/>
          <w:b/>
          <w:color w:val="404040"/>
          <w:sz w:val="22"/>
          <w:szCs w:val="22"/>
          <w:lang w:val="en-US" w:eastAsia="zh-CN"/>
        </w:rPr>
        <w:t>6</w:t>
      </w:r>
      <w:r>
        <w:rPr>
          <w:rFonts w:ascii="Arial" w:hAnsi="Arial" w:eastAsia="微软雅黑"/>
          <w:b/>
          <w:color w:val="404040"/>
          <w:sz w:val="22"/>
          <w:szCs w:val="22"/>
        </w:rPr>
        <w:t>.3.2 碳排放核算引擎</w:t>
      </w:r>
      <w:bookmarkEnd w:id="177"/>
    </w:p>
    <w:p w14:paraId="1D6B8C5E">
      <w:pPr>
        <w:spacing w:after="120" w:line="300" w:lineRule="auto"/>
      </w:pPr>
      <w:r>
        <w:rPr>
          <w:rFonts w:ascii="Arial" w:hAnsi="Arial" w:eastAsia="微软雅黑"/>
        </w:rPr>
        <w:t>碳排放核算引擎以“活动数据×排放因子×全球变暖潜势”为基本逻辑，结合国家、行业、地方及企业自定义口径进行配置。系统保留历史因子版本，支持报告复算、口径切换、版本对比和核查说明。</w:t>
      </w:r>
    </w:p>
    <w:p w14:paraId="5286E173">
      <w:pPr>
        <w:spacing w:after="80" w:line="300" w:lineRule="auto"/>
        <w:ind w:left="420"/>
      </w:pPr>
      <w:r>
        <w:rPr>
          <w:rFonts w:ascii="Arial" w:hAnsi="Arial" w:eastAsia="微软雅黑"/>
        </w:rPr>
        <w:t>（1）活动数据管理：优先使用在线计量数据，无法在线采集的数据采用账单、台账和人工录入，并标记数据等级。</w:t>
      </w:r>
    </w:p>
    <w:p w14:paraId="2E164675">
      <w:pPr>
        <w:spacing w:after="80" w:line="300" w:lineRule="auto"/>
        <w:ind w:left="420"/>
      </w:pPr>
      <w:r>
        <w:rPr>
          <w:rFonts w:ascii="Arial" w:hAnsi="Arial" w:eastAsia="微软雅黑"/>
        </w:rPr>
        <w:t>（2）排放因子管理：维护因子来源、适用区域、适用年份、单位、版本号、生效日期和审批记录。</w:t>
      </w:r>
    </w:p>
    <w:p w14:paraId="0AD132C5">
      <w:pPr>
        <w:spacing w:after="80" w:line="300" w:lineRule="auto"/>
        <w:ind w:left="420"/>
      </w:pPr>
      <w:r>
        <w:rPr>
          <w:rFonts w:ascii="Arial" w:hAnsi="Arial" w:eastAsia="微软雅黑"/>
        </w:rPr>
        <w:t>（3）计算模型管理：支持外购电力、燃气、热力、蒸汽、柴油、制冷剂泄漏、工业过程和废弃物等场景。</w:t>
      </w:r>
    </w:p>
    <w:p w14:paraId="1EE2E5CB">
      <w:pPr>
        <w:spacing w:after="80" w:line="300" w:lineRule="auto"/>
        <w:ind w:left="420"/>
      </w:pPr>
      <w:r>
        <w:rPr>
          <w:rFonts w:ascii="Arial" w:hAnsi="Arial" w:eastAsia="微软雅黑"/>
        </w:rPr>
        <w:t>（4）核查底稿管理：每一项排放量均可追溯到计量点、原始数据、因子、公式、修正记录和审批流程。</w:t>
      </w:r>
    </w:p>
    <w:p w14:paraId="6848FEAD">
      <w:pPr>
        <w:pStyle w:val="4"/>
        <w:spacing w:after="100" w:line="300" w:lineRule="auto"/>
      </w:pPr>
      <w:bookmarkStart w:id="178" w:name="_Toc1376"/>
      <w:r>
        <w:rPr>
          <w:rFonts w:hint="eastAsia" w:eastAsia="微软雅黑"/>
          <w:b/>
          <w:color w:val="404040"/>
          <w:sz w:val="22"/>
          <w:szCs w:val="22"/>
          <w:lang w:val="en-US" w:eastAsia="zh-CN"/>
        </w:rPr>
        <w:t>6</w:t>
      </w:r>
      <w:r>
        <w:rPr>
          <w:rFonts w:ascii="Arial" w:hAnsi="Arial" w:eastAsia="微软雅黑"/>
          <w:b/>
          <w:color w:val="404040"/>
          <w:sz w:val="22"/>
          <w:szCs w:val="22"/>
        </w:rPr>
        <w:t>.3.3 产品碳足迹核算</w:t>
      </w:r>
      <w:bookmarkEnd w:id="178"/>
    </w:p>
    <w:p w14:paraId="054B555D">
      <w:pPr>
        <w:spacing w:after="120" w:line="300" w:lineRule="auto"/>
      </w:pPr>
      <w:r>
        <w:rPr>
          <w:rFonts w:ascii="Arial" w:hAnsi="Arial" w:eastAsia="微软雅黑"/>
        </w:rPr>
        <w:t>面向园区内出口型企业和供应链企业，系统可按产品、工序、批次和订单维度归集能源、物料、运输、包装和废弃物数据，形成产品碳足迹辅助数据表。对于正式认证或国际互认场景，应按客户所在行业、市场和认证机构要求补充第三方核查。</w:t>
      </w:r>
    </w:p>
    <w:p w14:paraId="54033827">
      <w:pPr>
        <w:pStyle w:val="4"/>
        <w:spacing w:after="100" w:line="300" w:lineRule="auto"/>
      </w:pPr>
      <w:bookmarkStart w:id="179" w:name="_Toc7592"/>
      <w:r>
        <w:rPr>
          <w:rFonts w:hint="eastAsia" w:eastAsia="微软雅黑"/>
          <w:b/>
          <w:color w:val="404040"/>
          <w:sz w:val="22"/>
          <w:szCs w:val="22"/>
          <w:lang w:val="en-US" w:eastAsia="zh-CN"/>
        </w:rPr>
        <w:t>6</w:t>
      </w:r>
      <w:r>
        <w:rPr>
          <w:rFonts w:ascii="Arial" w:hAnsi="Arial" w:eastAsia="微软雅黑"/>
          <w:b/>
          <w:color w:val="404040"/>
          <w:sz w:val="22"/>
          <w:szCs w:val="22"/>
        </w:rPr>
        <w:t>.3.4 核算报告自动生成</w:t>
      </w:r>
      <w:bookmarkEnd w:id="179"/>
    </w:p>
    <w:p w14:paraId="04C9B869">
      <w:pPr>
        <w:spacing w:after="120" w:line="300" w:lineRule="auto"/>
      </w:pPr>
      <w:r>
        <w:rPr>
          <w:rFonts w:ascii="Arial" w:hAnsi="Arial" w:eastAsia="微软雅黑"/>
        </w:rPr>
        <w:t>系统可生成园区低碳运营报告、企业温室气体排放报告辅助表、租户碳账单、产品碳足迹辅助数据表、减排项目MRV资料包和管理层分析简报。报告支持年度、季度、月度多周期输出，并记录报告版本、口径、边界、因子版本和审批人。</w:t>
      </w:r>
    </w:p>
    <w:p w14:paraId="39A2E10C">
      <w:pPr>
        <w:pStyle w:val="4"/>
        <w:spacing w:after="100" w:line="300" w:lineRule="auto"/>
      </w:pPr>
      <w:bookmarkStart w:id="180" w:name="_Toc28312"/>
      <w:r>
        <w:rPr>
          <w:rFonts w:hint="eastAsia" w:eastAsia="微软雅黑"/>
          <w:b/>
          <w:color w:val="404040"/>
          <w:sz w:val="22"/>
          <w:szCs w:val="22"/>
          <w:lang w:val="en-US" w:eastAsia="zh-CN"/>
        </w:rPr>
        <w:t>6</w:t>
      </w:r>
      <w:r>
        <w:rPr>
          <w:rFonts w:ascii="Arial" w:hAnsi="Arial" w:eastAsia="微软雅黑"/>
          <w:b/>
          <w:color w:val="404040"/>
          <w:sz w:val="22"/>
          <w:szCs w:val="22"/>
        </w:rPr>
        <w:t>.3.5 数据质量管理</w:t>
      </w:r>
      <w:bookmarkEnd w:id="180"/>
    </w:p>
    <w:tbl>
      <w:tblPr>
        <w:tblStyle w:val="25"/>
        <w:tblW w:w="9026" w:type="dxa"/>
        <w:tblInd w:w="0" w:type="dxa"/>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Layout w:type="autofit"/>
        <w:tblCellMar>
          <w:top w:w="0" w:type="dxa"/>
          <w:left w:w="108" w:type="dxa"/>
          <w:bottom w:w="0" w:type="dxa"/>
          <w:right w:w="108" w:type="dxa"/>
        </w:tblCellMar>
      </w:tblPr>
      <w:tblGrid>
        <w:gridCol w:w="1900"/>
        <w:gridCol w:w="7126"/>
      </w:tblGrid>
      <w:tr w14:paraId="1269237F">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900" w:type="dxa"/>
            <w:shd w:val="clear" w:color="auto" w:fill="DCEEF7"/>
            <w:tcMar>
              <w:top w:w="90" w:type="dxa"/>
              <w:left w:w="120" w:type="dxa"/>
              <w:bottom w:w="90" w:type="dxa"/>
              <w:right w:w="120" w:type="dxa"/>
            </w:tcMar>
          </w:tcPr>
          <w:p w14:paraId="47D80DFA">
            <w:pPr>
              <w:spacing w:after="0" w:line="300" w:lineRule="auto"/>
            </w:pPr>
            <w:r>
              <w:rPr>
                <w:rFonts w:ascii="Arial" w:hAnsi="Arial" w:eastAsia="微软雅黑"/>
                <w:b/>
              </w:rPr>
              <w:t>质量控制项</w:t>
            </w:r>
          </w:p>
        </w:tc>
        <w:tc>
          <w:tcPr>
            <w:tcW w:w="7126" w:type="dxa"/>
            <w:shd w:val="clear" w:color="auto" w:fill="DCEEF7"/>
            <w:tcMar>
              <w:top w:w="90" w:type="dxa"/>
              <w:left w:w="120" w:type="dxa"/>
              <w:bottom w:w="90" w:type="dxa"/>
              <w:right w:w="120" w:type="dxa"/>
            </w:tcMar>
          </w:tcPr>
          <w:p w14:paraId="63A6A4DF">
            <w:pPr>
              <w:spacing w:after="0" w:line="300" w:lineRule="auto"/>
            </w:pPr>
            <w:r>
              <w:rPr>
                <w:rFonts w:ascii="Arial" w:hAnsi="Arial" w:eastAsia="微软雅黑"/>
                <w:b/>
              </w:rPr>
              <w:t>控制要求</w:t>
            </w:r>
          </w:p>
        </w:tc>
      </w:tr>
      <w:tr w14:paraId="54CB55F5">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900" w:type="dxa"/>
            <w:shd w:val="clear" w:color="auto" w:fill="FFFFFF"/>
            <w:tcMar>
              <w:top w:w="90" w:type="dxa"/>
              <w:left w:w="120" w:type="dxa"/>
              <w:bottom w:w="90" w:type="dxa"/>
              <w:right w:w="120" w:type="dxa"/>
            </w:tcMar>
          </w:tcPr>
          <w:p w14:paraId="7CAC388E">
            <w:pPr>
              <w:spacing w:after="0" w:line="300" w:lineRule="auto"/>
            </w:pPr>
            <w:r>
              <w:rPr>
                <w:rFonts w:ascii="Arial" w:hAnsi="Arial" w:eastAsia="微软雅黑"/>
              </w:rPr>
              <w:t>完整性</w:t>
            </w:r>
          </w:p>
        </w:tc>
        <w:tc>
          <w:tcPr>
            <w:tcW w:w="7126" w:type="dxa"/>
            <w:shd w:val="clear" w:color="auto" w:fill="FFFFFF"/>
            <w:tcMar>
              <w:top w:w="90" w:type="dxa"/>
              <w:left w:w="120" w:type="dxa"/>
              <w:bottom w:w="90" w:type="dxa"/>
              <w:right w:w="120" w:type="dxa"/>
            </w:tcMar>
          </w:tcPr>
          <w:p w14:paraId="2FB4EDE5">
            <w:pPr>
              <w:spacing w:after="0" w:line="300" w:lineRule="auto"/>
            </w:pPr>
            <w:r>
              <w:rPr>
                <w:rFonts w:ascii="Arial" w:hAnsi="Arial" w:eastAsia="微软雅黑"/>
              </w:rPr>
              <w:t>关键计量点采集完整率、缺失数据比例和补数规则可视化。</w:t>
            </w:r>
          </w:p>
        </w:tc>
      </w:tr>
      <w:tr w14:paraId="2B104269">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PrEx>
        <w:tc>
          <w:tcPr>
            <w:tcW w:w="1900" w:type="dxa"/>
            <w:shd w:val="clear" w:color="auto" w:fill="F7FBFD"/>
            <w:tcMar>
              <w:top w:w="90" w:type="dxa"/>
              <w:left w:w="120" w:type="dxa"/>
              <w:bottom w:w="90" w:type="dxa"/>
              <w:right w:w="120" w:type="dxa"/>
            </w:tcMar>
          </w:tcPr>
          <w:p w14:paraId="3DFB0477">
            <w:pPr>
              <w:spacing w:after="0" w:line="300" w:lineRule="auto"/>
            </w:pPr>
            <w:r>
              <w:rPr>
                <w:rFonts w:ascii="Arial" w:hAnsi="Arial" w:eastAsia="微软雅黑"/>
              </w:rPr>
              <w:t>准确性</w:t>
            </w:r>
          </w:p>
        </w:tc>
        <w:tc>
          <w:tcPr>
            <w:tcW w:w="7126" w:type="dxa"/>
            <w:shd w:val="clear" w:color="auto" w:fill="F7FBFD"/>
            <w:tcMar>
              <w:top w:w="90" w:type="dxa"/>
              <w:left w:w="120" w:type="dxa"/>
              <w:bottom w:w="90" w:type="dxa"/>
              <w:right w:w="120" w:type="dxa"/>
            </w:tcMar>
          </w:tcPr>
          <w:p w14:paraId="29324DA4">
            <w:pPr>
              <w:spacing w:after="0" w:line="300" w:lineRule="auto"/>
            </w:pPr>
            <w:r>
              <w:rPr>
                <w:rFonts w:ascii="Arial" w:hAnsi="Arial" w:eastAsia="微软雅黑"/>
              </w:rPr>
              <w:t>表计倍率、CT/PT变比、账单比对、异常跳变和人工修正全部留痕。</w:t>
            </w:r>
          </w:p>
        </w:tc>
      </w:tr>
      <w:tr w14:paraId="273CB3B9">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900" w:type="dxa"/>
            <w:shd w:val="clear" w:color="auto" w:fill="FFFFFF"/>
            <w:tcMar>
              <w:top w:w="90" w:type="dxa"/>
              <w:left w:w="120" w:type="dxa"/>
              <w:bottom w:w="90" w:type="dxa"/>
              <w:right w:w="120" w:type="dxa"/>
            </w:tcMar>
          </w:tcPr>
          <w:p w14:paraId="2DFA1680">
            <w:pPr>
              <w:spacing w:after="0" w:line="300" w:lineRule="auto"/>
            </w:pPr>
            <w:r>
              <w:rPr>
                <w:rFonts w:ascii="Arial" w:hAnsi="Arial" w:eastAsia="微软雅黑"/>
              </w:rPr>
              <w:t>一致性</w:t>
            </w:r>
          </w:p>
        </w:tc>
        <w:tc>
          <w:tcPr>
            <w:tcW w:w="7126" w:type="dxa"/>
            <w:shd w:val="clear" w:color="auto" w:fill="FFFFFF"/>
            <w:tcMar>
              <w:top w:w="90" w:type="dxa"/>
              <w:left w:w="120" w:type="dxa"/>
              <w:bottom w:w="90" w:type="dxa"/>
              <w:right w:w="120" w:type="dxa"/>
            </w:tcMar>
          </w:tcPr>
          <w:p w14:paraId="1B1982D7">
            <w:pPr>
              <w:spacing w:after="0" w:line="300" w:lineRule="auto"/>
            </w:pPr>
            <w:r>
              <w:rPr>
                <w:rFonts w:ascii="Arial" w:hAnsi="Arial" w:eastAsia="微软雅黑"/>
              </w:rPr>
              <w:t>统一园区、楼栋、租户、设备、能源品类、时间周期和计量单位编码。</w:t>
            </w:r>
          </w:p>
        </w:tc>
      </w:tr>
      <w:tr w14:paraId="04EA6C0D">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900" w:type="dxa"/>
            <w:shd w:val="clear" w:color="auto" w:fill="F7FBFD"/>
            <w:tcMar>
              <w:top w:w="90" w:type="dxa"/>
              <w:left w:w="120" w:type="dxa"/>
              <w:bottom w:w="90" w:type="dxa"/>
              <w:right w:w="120" w:type="dxa"/>
            </w:tcMar>
          </w:tcPr>
          <w:p w14:paraId="4BB83CC6">
            <w:pPr>
              <w:spacing w:after="0" w:line="300" w:lineRule="auto"/>
            </w:pPr>
            <w:r>
              <w:rPr>
                <w:rFonts w:ascii="Arial" w:hAnsi="Arial" w:eastAsia="微软雅黑"/>
              </w:rPr>
              <w:t>可追溯性</w:t>
            </w:r>
          </w:p>
        </w:tc>
        <w:tc>
          <w:tcPr>
            <w:tcW w:w="7126" w:type="dxa"/>
            <w:shd w:val="clear" w:color="auto" w:fill="F7FBFD"/>
            <w:tcMar>
              <w:top w:w="90" w:type="dxa"/>
              <w:left w:w="120" w:type="dxa"/>
              <w:bottom w:w="90" w:type="dxa"/>
              <w:right w:w="120" w:type="dxa"/>
            </w:tcMar>
          </w:tcPr>
          <w:p w14:paraId="7316DF78">
            <w:pPr>
              <w:spacing w:after="0" w:line="300" w:lineRule="auto"/>
            </w:pPr>
            <w:r>
              <w:rPr>
                <w:rFonts w:ascii="Arial" w:hAnsi="Arial" w:eastAsia="微软雅黑"/>
              </w:rPr>
              <w:t>原始数据、因子、公式、凭证和报表版本形成完整数据血缘。</w:t>
            </w:r>
          </w:p>
        </w:tc>
      </w:tr>
      <w:tr w14:paraId="038C5236">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900" w:type="dxa"/>
            <w:shd w:val="clear" w:color="auto" w:fill="FFFFFF"/>
            <w:tcMar>
              <w:top w:w="90" w:type="dxa"/>
              <w:left w:w="120" w:type="dxa"/>
              <w:bottom w:w="90" w:type="dxa"/>
              <w:right w:w="120" w:type="dxa"/>
            </w:tcMar>
          </w:tcPr>
          <w:p w14:paraId="722CF660">
            <w:pPr>
              <w:spacing w:after="0" w:line="300" w:lineRule="auto"/>
            </w:pPr>
            <w:r>
              <w:rPr>
                <w:rFonts w:ascii="Arial" w:hAnsi="Arial" w:eastAsia="微软雅黑"/>
              </w:rPr>
              <w:t>可审计性</w:t>
            </w:r>
          </w:p>
        </w:tc>
        <w:tc>
          <w:tcPr>
            <w:tcW w:w="7126" w:type="dxa"/>
            <w:shd w:val="clear" w:color="auto" w:fill="FFFFFF"/>
            <w:tcMar>
              <w:top w:w="90" w:type="dxa"/>
              <w:left w:w="120" w:type="dxa"/>
              <w:bottom w:w="90" w:type="dxa"/>
              <w:right w:w="120" w:type="dxa"/>
            </w:tcMar>
          </w:tcPr>
          <w:p w14:paraId="1EB438FD">
            <w:pPr>
              <w:spacing w:after="0" w:line="300" w:lineRule="auto"/>
            </w:pPr>
            <w:r>
              <w:rPr>
                <w:rFonts w:ascii="Arial" w:hAnsi="Arial" w:eastAsia="微软雅黑"/>
              </w:rPr>
              <w:t>核算结果、人工调整、审批流和导出记录进入审计日志。</w:t>
            </w:r>
          </w:p>
        </w:tc>
      </w:tr>
    </w:tbl>
    <w:p w14:paraId="2A021E23">
      <w:pPr>
        <w:spacing w:after="120" w:line="300" w:lineRule="auto"/>
      </w:pPr>
    </w:p>
    <w:p w14:paraId="0B887EDA">
      <w:pPr>
        <w:pStyle w:val="3"/>
        <w:spacing w:after="140" w:line="300" w:lineRule="auto"/>
        <w:rPr>
          <w:rFonts w:hint="eastAsia" w:eastAsia="微软雅黑"/>
          <w:b/>
          <w:color w:val="auto"/>
          <w:sz w:val="24"/>
          <w:szCs w:val="24"/>
          <w:lang w:val="en-US" w:eastAsia="zh-CN"/>
        </w:rPr>
      </w:pPr>
      <w:bookmarkStart w:id="181" w:name="_Toc20764"/>
      <w:r>
        <w:rPr>
          <w:rFonts w:hint="eastAsia" w:eastAsia="微软雅黑"/>
          <w:b/>
          <w:color w:val="auto"/>
          <w:sz w:val="24"/>
          <w:szCs w:val="24"/>
          <w:lang w:val="en-US" w:eastAsia="zh-CN"/>
        </w:rPr>
        <w:t>6.4 能碳交易管理</w:t>
      </w:r>
      <w:bookmarkEnd w:id="181"/>
    </w:p>
    <w:p w14:paraId="4828C967">
      <w:pPr>
        <w:pStyle w:val="4"/>
        <w:spacing w:after="100" w:line="300" w:lineRule="auto"/>
      </w:pPr>
      <w:bookmarkStart w:id="182" w:name="_Toc385"/>
      <w:r>
        <w:rPr>
          <w:rFonts w:hint="eastAsia" w:eastAsia="微软雅黑"/>
          <w:b/>
          <w:color w:val="404040"/>
          <w:sz w:val="22"/>
          <w:szCs w:val="22"/>
          <w:lang w:val="en-US" w:eastAsia="zh-CN"/>
        </w:rPr>
        <w:t>6</w:t>
      </w:r>
      <w:r>
        <w:rPr>
          <w:rFonts w:ascii="Arial" w:hAnsi="Arial" w:eastAsia="微软雅黑"/>
          <w:b/>
          <w:color w:val="404040"/>
          <w:sz w:val="22"/>
          <w:szCs w:val="22"/>
        </w:rPr>
        <w:t>.4.1 碳配额管理</w:t>
      </w:r>
      <w:bookmarkEnd w:id="182"/>
    </w:p>
    <w:p w14:paraId="03A9FF92">
      <w:pPr>
        <w:spacing w:after="120" w:line="300" w:lineRule="auto"/>
      </w:pPr>
      <w:r>
        <w:rPr>
          <w:rFonts w:ascii="Arial" w:hAnsi="Arial" w:eastAsia="微软雅黑"/>
        </w:rPr>
        <w:t>系统针对园区内已纳入或可能纳入全国碳市场的企业，建立配额台账、年度排放预测、履约缺口测算和清缴提醒。对于暂未纳入的预备行业企业，可提前建立数据台账和碳成本模拟模型，降低后续纳管风险。</w:t>
      </w:r>
    </w:p>
    <w:p w14:paraId="5B42FF40">
      <w:pPr>
        <w:pStyle w:val="4"/>
        <w:spacing w:after="100" w:line="300" w:lineRule="auto"/>
      </w:pPr>
      <w:bookmarkStart w:id="183" w:name="_Toc8369"/>
      <w:r>
        <w:rPr>
          <w:rFonts w:hint="eastAsia" w:eastAsia="微软雅黑"/>
          <w:b/>
          <w:color w:val="404040"/>
          <w:sz w:val="22"/>
          <w:szCs w:val="22"/>
          <w:lang w:val="en-US" w:eastAsia="zh-CN"/>
        </w:rPr>
        <w:t>6</w:t>
      </w:r>
      <w:r>
        <w:rPr>
          <w:rFonts w:ascii="Arial" w:hAnsi="Arial" w:eastAsia="微软雅黑"/>
          <w:b/>
          <w:color w:val="404040"/>
          <w:sz w:val="22"/>
          <w:szCs w:val="22"/>
        </w:rPr>
        <w:t>.4.2 碳交易决策支持</w:t>
      </w:r>
      <w:bookmarkEnd w:id="183"/>
    </w:p>
    <w:tbl>
      <w:tblPr>
        <w:tblStyle w:val="25"/>
        <w:tblW w:w="9026" w:type="dxa"/>
        <w:tblInd w:w="0" w:type="dxa"/>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Layout w:type="autofit"/>
        <w:tblCellMar>
          <w:top w:w="0" w:type="dxa"/>
          <w:left w:w="108" w:type="dxa"/>
          <w:bottom w:w="0" w:type="dxa"/>
          <w:right w:w="108" w:type="dxa"/>
        </w:tblCellMar>
      </w:tblPr>
      <w:tblGrid>
        <w:gridCol w:w="2100"/>
        <w:gridCol w:w="6926"/>
      </w:tblGrid>
      <w:tr w14:paraId="18C6AEE2">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2100" w:type="dxa"/>
            <w:shd w:val="clear" w:color="auto" w:fill="DCEEF7"/>
            <w:tcMar>
              <w:top w:w="90" w:type="dxa"/>
              <w:left w:w="120" w:type="dxa"/>
              <w:bottom w:w="90" w:type="dxa"/>
              <w:right w:w="120" w:type="dxa"/>
            </w:tcMar>
          </w:tcPr>
          <w:p w14:paraId="19E642C5">
            <w:pPr>
              <w:spacing w:after="0" w:line="300" w:lineRule="auto"/>
            </w:pPr>
            <w:r>
              <w:rPr>
                <w:rFonts w:ascii="Arial" w:hAnsi="Arial" w:eastAsia="微软雅黑"/>
                <w:b/>
              </w:rPr>
              <w:t>功能</w:t>
            </w:r>
          </w:p>
        </w:tc>
        <w:tc>
          <w:tcPr>
            <w:tcW w:w="6926" w:type="dxa"/>
            <w:shd w:val="clear" w:color="auto" w:fill="DCEEF7"/>
            <w:tcMar>
              <w:top w:w="90" w:type="dxa"/>
              <w:left w:w="120" w:type="dxa"/>
              <w:bottom w:w="90" w:type="dxa"/>
              <w:right w:w="120" w:type="dxa"/>
            </w:tcMar>
          </w:tcPr>
          <w:p w14:paraId="6A468CB6">
            <w:pPr>
              <w:spacing w:after="0" w:line="300" w:lineRule="auto"/>
            </w:pPr>
            <w:r>
              <w:rPr>
                <w:rFonts w:ascii="Arial" w:hAnsi="Arial" w:eastAsia="微软雅黑"/>
                <w:b/>
              </w:rPr>
              <w:t>说明</w:t>
            </w:r>
          </w:p>
        </w:tc>
      </w:tr>
      <w:tr w14:paraId="01D78A2F">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2100" w:type="dxa"/>
            <w:shd w:val="clear" w:color="auto" w:fill="FFFFFF"/>
            <w:tcMar>
              <w:top w:w="90" w:type="dxa"/>
              <w:left w:w="120" w:type="dxa"/>
              <w:bottom w:w="90" w:type="dxa"/>
              <w:right w:w="120" w:type="dxa"/>
            </w:tcMar>
          </w:tcPr>
          <w:p w14:paraId="1E7486FD">
            <w:pPr>
              <w:spacing w:after="0" w:line="300" w:lineRule="auto"/>
            </w:pPr>
            <w:r>
              <w:rPr>
                <w:rFonts w:ascii="Arial" w:hAnsi="Arial" w:eastAsia="微软雅黑"/>
              </w:rPr>
              <w:t>配额缺口/盈余测算</w:t>
            </w:r>
          </w:p>
        </w:tc>
        <w:tc>
          <w:tcPr>
            <w:tcW w:w="6926" w:type="dxa"/>
            <w:shd w:val="clear" w:color="auto" w:fill="FFFFFF"/>
            <w:tcMar>
              <w:top w:w="90" w:type="dxa"/>
              <w:left w:w="120" w:type="dxa"/>
              <w:bottom w:w="90" w:type="dxa"/>
              <w:right w:w="120" w:type="dxa"/>
            </w:tcMar>
          </w:tcPr>
          <w:p w14:paraId="4CB01B8E">
            <w:pPr>
              <w:spacing w:after="0" w:line="300" w:lineRule="auto"/>
            </w:pPr>
            <w:r>
              <w:rPr>
                <w:rFonts w:ascii="Arial" w:hAnsi="Arial" w:eastAsia="微软雅黑"/>
              </w:rPr>
              <w:t>按年度排放预测、配额分配、减排项目、绿电采购和预期碳价测算履约缺口或盈余。</w:t>
            </w:r>
          </w:p>
        </w:tc>
      </w:tr>
      <w:tr w14:paraId="295AD5AC">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2100" w:type="dxa"/>
            <w:shd w:val="clear" w:color="auto" w:fill="F7FBFD"/>
            <w:tcMar>
              <w:top w:w="90" w:type="dxa"/>
              <w:left w:w="120" w:type="dxa"/>
              <w:bottom w:w="90" w:type="dxa"/>
              <w:right w:w="120" w:type="dxa"/>
            </w:tcMar>
          </w:tcPr>
          <w:p w14:paraId="3C9A0C3A">
            <w:pPr>
              <w:spacing w:after="0" w:line="300" w:lineRule="auto"/>
            </w:pPr>
            <w:r>
              <w:rPr>
                <w:rFonts w:ascii="Arial" w:hAnsi="Arial" w:eastAsia="微软雅黑"/>
              </w:rPr>
              <w:t>碳价情景分析</w:t>
            </w:r>
          </w:p>
        </w:tc>
        <w:tc>
          <w:tcPr>
            <w:tcW w:w="6926" w:type="dxa"/>
            <w:shd w:val="clear" w:color="auto" w:fill="F7FBFD"/>
            <w:tcMar>
              <w:top w:w="90" w:type="dxa"/>
              <w:left w:w="120" w:type="dxa"/>
              <w:bottom w:w="90" w:type="dxa"/>
              <w:right w:w="120" w:type="dxa"/>
            </w:tcMar>
          </w:tcPr>
          <w:p w14:paraId="7BF69D51">
            <w:pPr>
              <w:spacing w:after="0" w:line="300" w:lineRule="auto"/>
            </w:pPr>
            <w:r>
              <w:rPr>
                <w:rFonts w:ascii="Arial" w:hAnsi="Arial" w:eastAsia="微软雅黑"/>
              </w:rPr>
              <w:t>设置保守、中性、激进等碳价情景，分析碳成本对企业和园区运营的影响。</w:t>
            </w:r>
          </w:p>
        </w:tc>
      </w:tr>
      <w:tr w14:paraId="329EB215">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2100" w:type="dxa"/>
            <w:shd w:val="clear" w:color="auto" w:fill="FFFFFF"/>
            <w:tcMar>
              <w:top w:w="90" w:type="dxa"/>
              <w:left w:w="120" w:type="dxa"/>
              <w:bottom w:w="90" w:type="dxa"/>
              <w:right w:w="120" w:type="dxa"/>
            </w:tcMar>
          </w:tcPr>
          <w:p w14:paraId="0D0E195E">
            <w:pPr>
              <w:spacing w:after="0" w:line="300" w:lineRule="auto"/>
            </w:pPr>
            <w:r>
              <w:rPr>
                <w:rFonts w:ascii="Arial" w:hAnsi="Arial" w:eastAsia="微软雅黑"/>
              </w:rPr>
              <w:t>内部碳价管理</w:t>
            </w:r>
          </w:p>
        </w:tc>
        <w:tc>
          <w:tcPr>
            <w:tcW w:w="6926" w:type="dxa"/>
            <w:shd w:val="clear" w:color="auto" w:fill="FFFFFF"/>
            <w:tcMar>
              <w:top w:w="90" w:type="dxa"/>
              <w:left w:w="120" w:type="dxa"/>
              <w:bottom w:w="90" w:type="dxa"/>
              <w:right w:w="120" w:type="dxa"/>
            </w:tcMar>
          </w:tcPr>
          <w:p w14:paraId="563BFA1B">
            <w:pPr>
              <w:spacing w:after="0" w:line="300" w:lineRule="auto"/>
            </w:pPr>
            <w:r>
              <w:rPr>
                <w:rFonts w:ascii="Arial" w:hAnsi="Arial" w:eastAsia="微软雅黑"/>
              </w:rPr>
              <w:t>将碳成本分解到租户、楼栋、产品、工序或设备，支撑低碳招商和内部考核。</w:t>
            </w:r>
          </w:p>
        </w:tc>
      </w:tr>
      <w:tr w14:paraId="1C3199C4">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PrEx>
        <w:tc>
          <w:tcPr>
            <w:tcW w:w="2100" w:type="dxa"/>
            <w:shd w:val="clear" w:color="auto" w:fill="F7FBFD"/>
            <w:tcMar>
              <w:top w:w="90" w:type="dxa"/>
              <w:left w:w="120" w:type="dxa"/>
              <w:bottom w:w="90" w:type="dxa"/>
              <w:right w:w="120" w:type="dxa"/>
            </w:tcMar>
          </w:tcPr>
          <w:p w14:paraId="1FD2FB90">
            <w:pPr>
              <w:spacing w:after="0" w:line="300" w:lineRule="auto"/>
            </w:pPr>
            <w:r>
              <w:rPr>
                <w:rFonts w:ascii="Arial" w:hAnsi="Arial" w:eastAsia="微软雅黑"/>
              </w:rPr>
              <w:t>交易策略建议</w:t>
            </w:r>
          </w:p>
        </w:tc>
        <w:tc>
          <w:tcPr>
            <w:tcW w:w="6926" w:type="dxa"/>
            <w:shd w:val="clear" w:color="auto" w:fill="F7FBFD"/>
            <w:tcMar>
              <w:top w:w="90" w:type="dxa"/>
              <w:left w:w="120" w:type="dxa"/>
              <w:bottom w:w="90" w:type="dxa"/>
              <w:right w:w="120" w:type="dxa"/>
            </w:tcMar>
          </w:tcPr>
          <w:p w14:paraId="47DD04E0">
            <w:pPr>
              <w:spacing w:after="0" w:line="300" w:lineRule="auto"/>
            </w:pPr>
            <w:r>
              <w:rPr>
                <w:rFonts w:ascii="Arial" w:hAnsi="Arial" w:eastAsia="微软雅黑"/>
              </w:rPr>
              <w:t>根据履约期限、碳价区间、减排项目进度和资金计划，形成买入、卖出或持有建议。</w:t>
            </w:r>
          </w:p>
        </w:tc>
      </w:tr>
      <w:tr w14:paraId="54E64BBA">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2100" w:type="dxa"/>
            <w:shd w:val="clear" w:color="auto" w:fill="FFFFFF"/>
            <w:tcMar>
              <w:top w:w="90" w:type="dxa"/>
              <w:left w:w="120" w:type="dxa"/>
              <w:bottom w:w="90" w:type="dxa"/>
              <w:right w:w="120" w:type="dxa"/>
            </w:tcMar>
          </w:tcPr>
          <w:p w14:paraId="687915FB">
            <w:pPr>
              <w:spacing w:after="0" w:line="300" w:lineRule="auto"/>
            </w:pPr>
            <w:r>
              <w:rPr>
                <w:rFonts w:ascii="Arial" w:hAnsi="Arial" w:eastAsia="微软雅黑"/>
              </w:rPr>
              <w:t>合规日历</w:t>
            </w:r>
          </w:p>
        </w:tc>
        <w:tc>
          <w:tcPr>
            <w:tcW w:w="6926" w:type="dxa"/>
            <w:shd w:val="clear" w:color="auto" w:fill="FFFFFF"/>
            <w:tcMar>
              <w:top w:w="90" w:type="dxa"/>
              <w:left w:w="120" w:type="dxa"/>
              <w:bottom w:w="90" w:type="dxa"/>
              <w:right w:w="120" w:type="dxa"/>
            </w:tcMar>
          </w:tcPr>
          <w:p w14:paraId="0F826400">
            <w:pPr>
              <w:spacing w:after="0" w:line="300" w:lineRule="auto"/>
            </w:pPr>
            <w:r>
              <w:rPr>
                <w:rFonts w:ascii="Arial" w:hAnsi="Arial" w:eastAsia="微软雅黑"/>
              </w:rPr>
              <w:t>按排放报告、核查、配额分配、清缴和项目核证节点自动提醒。</w:t>
            </w:r>
          </w:p>
        </w:tc>
      </w:tr>
    </w:tbl>
    <w:p w14:paraId="3A26DEDF">
      <w:pPr>
        <w:spacing w:after="120" w:line="300" w:lineRule="auto"/>
      </w:pPr>
    </w:p>
    <w:p w14:paraId="07DE67D7">
      <w:pPr>
        <w:pStyle w:val="4"/>
        <w:spacing w:after="100" w:line="300" w:lineRule="auto"/>
      </w:pPr>
      <w:bookmarkStart w:id="184" w:name="_Toc18803"/>
      <w:r>
        <w:rPr>
          <w:rFonts w:hint="eastAsia" w:eastAsia="微软雅黑"/>
          <w:b/>
          <w:color w:val="404040"/>
          <w:sz w:val="22"/>
          <w:szCs w:val="22"/>
          <w:lang w:val="en-US" w:eastAsia="zh-CN"/>
        </w:rPr>
        <w:t>6</w:t>
      </w:r>
      <w:r>
        <w:rPr>
          <w:rFonts w:ascii="Arial" w:hAnsi="Arial" w:eastAsia="微软雅黑"/>
          <w:b/>
          <w:color w:val="404040"/>
          <w:sz w:val="22"/>
          <w:szCs w:val="22"/>
        </w:rPr>
        <w:t>.4.3 CCER碳资产开发管理</w:t>
      </w:r>
      <w:bookmarkEnd w:id="184"/>
    </w:p>
    <w:p w14:paraId="0F38AF1F">
      <w:pPr>
        <w:spacing w:after="120" w:line="300" w:lineRule="auto"/>
      </w:pPr>
      <w:r>
        <w:rPr>
          <w:rFonts w:ascii="Arial" w:hAnsi="Arial" w:eastAsia="微软雅黑"/>
        </w:rPr>
        <w:t>系统围绕节能改造、既有公共建筑围护结构与暖通空调系统能效提升、分布式光伏、储能、可再生能源和其他符合方法学的项目建立项目库。每个项目记录边界、基线、额外性、监测计划、实施资料、运行数据、减排量、核证进度和收益分配。</w:t>
      </w:r>
    </w:p>
    <w:p w14:paraId="04377A95">
      <w:pPr>
        <w:pStyle w:val="4"/>
        <w:spacing w:after="100" w:line="300" w:lineRule="auto"/>
      </w:pPr>
      <w:bookmarkStart w:id="185" w:name="_Toc13798"/>
      <w:r>
        <w:rPr>
          <w:rFonts w:hint="eastAsia" w:eastAsia="微软雅黑"/>
          <w:b/>
          <w:color w:val="404040"/>
          <w:sz w:val="22"/>
          <w:szCs w:val="22"/>
          <w:lang w:val="en-US" w:eastAsia="zh-CN"/>
        </w:rPr>
        <w:t>6</w:t>
      </w:r>
      <w:r>
        <w:rPr>
          <w:rFonts w:ascii="Arial" w:hAnsi="Arial" w:eastAsia="微软雅黑"/>
          <w:b/>
          <w:color w:val="404040"/>
          <w:sz w:val="22"/>
          <w:szCs w:val="22"/>
        </w:rPr>
        <w:t>.4.4 绿色电力与绿证协同</w:t>
      </w:r>
      <w:bookmarkEnd w:id="185"/>
    </w:p>
    <w:p w14:paraId="1D88A4F7">
      <w:pPr>
        <w:spacing w:after="120" w:line="300" w:lineRule="auto"/>
      </w:pPr>
      <w:r>
        <w:rPr>
          <w:rFonts w:ascii="Arial" w:hAnsi="Arial" w:eastAsia="微软雅黑"/>
        </w:rPr>
        <w:t>系统将绿电采购、绿证凭证、分布式光伏发电、储能充放电和充电桩负荷纳入统一台账，记录使用主体、使用年度、凭证编号、核算口径和重复计算风险，支持企业范围二核算、产品碳足迹和ESG披露。</w:t>
      </w:r>
    </w:p>
    <w:p w14:paraId="701334B8">
      <w:pPr>
        <w:pStyle w:val="4"/>
        <w:spacing w:after="100" w:line="300" w:lineRule="auto"/>
      </w:pPr>
      <w:bookmarkStart w:id="186" w:name="_Toc3927"/>
      <w:r>
        <w:rPr>
          <w:rFonts w:hint="eastAsia" w:eastAsia="微软雅黑"/>
          <w:b/>
          <w:color w:val="404040"/>
          <w:sz w:val="22"/>
          <w:szCs w:val="22"/>
          <w:lang w:val="en-US" w:eastAsia="zh-CN"/>
        </w:rPr>
        <w:t>6</w:t>
      </w:r>
      <w:r>
        <w:rPr>
          <w:rFonts w:ascii="Arial" w:hAnsi="Arial" w:eastAsia="微软雅黑"/>
          <w:b/>
          <w:color w:val="404040"/>
          <w:sz w:val="22"/>
          <w:szCs w:val="22"/>
        </w:rPr>
        <w:t>.4.5 风险管理与合规</w:t>
      </w:r>
      <w:bookmarkEnd w:id="186"/>
    </w:p>
    <w:p w14:paraId="2F8A8B73">
      <w:pPr>
        <w:spacing w:after="80" w:line="300" w:lineRule="auto"/>
        <w:ind w:left="420"/>
      </w:pPr>
      <w:r>
        <w:rPr>
          <w:rFonts w:ascii="Arial" w:hAnsi="Arial" w:eastAsia="微软雅黑"/>
        </w:rPr>
        <w:t>（1）数据造假风险：通过数据留痕、权限审批、原始凭证和异常校验降低核查风险。</w:t>
      </w:r>
    </w:p>
    <w:p w14:paraId="298242A6">
      <w:pPr>
        <w:spacing w:after="80" w:line="300" w:lineRule="auto"/>
        <w:ind w:left="420"/>
      </w:pPr>
      <w:r>
        <w:rPr>
          <w:rFonts w:ascii="Arial" w:hAnsi="Arial" w:eastAsia="微软雅黑"/>
        </w:rPr>
        <w:t>（2）市场价格风险：通过碳价情景、敏感性分析和履约日历避免被动高价履约。</w:t>
      </w:r>
    </w:p>
    <w:p w14:paraId="4723553B">
      <w:pPr>
        <w:spacing w:after="80" w:line="300" w:lineRule="auto"/>
        <w:ind w:left="420"/>
      </w:pPr>
      <w:r>
        <w:rPr>
          <w:rFonts w:ascii="Arial" w:hAnsi="Arial" w:eastAsia="微软雅黑"/>
        </w:rPr>
        <w:t>（3）政策变化风险：因子库、方法学和报表模板按版本管理，支持快速更新。</w:t>
      </w:r>
    </w:p>
    <w:p w14:paraId="549E3298">
      <w:pPr>
        <w:spacing w:after="80" w:line="300" w:lineRule="auto"/>
        <w:ind w:left="420"/>
      </w:pPr>
      <w:r>
        <w:rPr>
          <w:rFonts w:ascii="Arial" w:hAnsi="Arial" w:eastAsia="微软雅黑"/>
        </w:rPr>
        <w:t>（4）重复收益风险：绿电、绿证、CCER和配额履约之间建立用途台账和冲突提示。</w:t>
      </w:r>
    </w:p>
    <w:p w14:paraId="12CB239E">
      <w:pPr>
        <w:pStyle w:val="3"/>
        <w:spacing w:after="140" w:line="300" w:lineRule="auto"/>
        <w:rPr>
          <w:rFonts w:hint="eastAsia" w:eastAsia="微软雅黑"/>
          <w:b/>
          <w:color w:val="auto"/>
          <w:sz w:val="24"/>
          <w:szCs w:val="24"/>
          <w:lang w:val="en-US" w:eastAsia="zh-CN"/>
        </w:rPr>
      </w:pPr>
      <w:bookmarkStart w:id="187" w:name="_Toc28122"/>
      <w:r>
        <w:rPr>
          <w:rFonts w:hint="eastAsia" w:eastAsia="微软雅黑"/>
          <w:b/>
          <w:color w:val="auto"/>
          <w:sz w:val="24"/>
          <w:szCs w:val="24"/>
          <w:lang w:val="en-US" w:eastAsia="zh-CN"/>
        </w:rPr>
        <w:t>6.5 系统集成与数据安全</w:t>
      </w:r>
      <w:bookmarkEnd w:id="187"/>
    </w:p>
    <w:p w14:paraId="74A2E5F4">
      <w:pPr>
        <w:pStyle w:val="4"/>
        <w:spacing w:after="100" w:line="300" w:lineRule="auto"/>
      </w:pPr>
      <w:bookmarkStart w:id="188" w:name="_Toc31802"/>
      <w:r>
        <w:rPr>
          <w:rFonts w:hint="eastAsia" w:eastAsia="微软雅黑"/>
          <w:b/>
          <w:color w:val="404040"/>
          <w:sz w:val="22"/>
          <w:szCs w:val="22"/>
          <w:lang w:val="en-US" w:eastAsia="zh-CN"/>
        </w:rPr>
        <w:t>6</w:t>
      </w:r>
      <w:r>
        <w:rPr>
          <w:rFonts w:ascii="Arial" w:hAnsi="Arial" w:eastAsia="微软雅黑"/>
          <w:b/>
          <w:color w:val="404040"/>
          <w:sz w:val="22"/>
          <w:szCs w:val="22"/>
        </w:rPr>
        <w:t>.5.1 数据集成与互联互通</w:t>
      </w:r>
      <w:bookmarkEnd w:id="188"/>
    </w:p>
    <w:p w14:paraId="724A7141">
      <w:pPr>
        <w:spacing w:after="120" w:line="300" w:lineRule="auto"/>
      </w:pPr>
      <w:r>
        <w:rPr>
          <w:rFonts w:ascii="Arial" w:hAnsi="Arial" w:eastAsia="微软雅黑"/>
        </w:rPr>
        <w:t>系统对内对接BA/BMS、能源站、配电系统、充电桩、光伏储能、ERP、财务、物业收费和企业ESG系统；对外预留政府能耗在线监测平台、低碳园区平台、第三方核查机构、碳资产服务机构和企业供应链平台接口。</w:t>
      </w:r>
    </w:p>
    <w:p w14:paraId="709E7A03">
      <w:pPr>
        <w:spacing w:after="80" w:line="300" w:lineRule="auto"/>
        <w:ind w:left="420"/>
      </w:pPr>
      <w:r>
        <w:rPr>
          <w:rFonts w:ascii="Arial" w:hAnsi="Arial" w:eastAsia="微软雅黑"/>
        </w:rPr>
        <w:t>（1）标准接口：REST API、MQTT、OPC UA、Modbus、BACnet、SNMP、数据库视图和文件交换。</w:t>
      </w:r>
    </w:p>
    <w:p w14:paraId="60271660">
      <w:pPr>
        <w:spacing w:after="80" w:line="300" w:lineRule="auto"/>
        <w:ind w:left="420"/>
      </w:pPr>
      <w:r>
        <w:rPr>
          <w:rFonts w:ascii="Arial" w:hAnsi="Arial" w:eastAsia="微软雅黑"/>
        </w:rPr>
        <w:t>（2）数据模型：统一组织、租户、楼栋、设备、计量点、能源品类、排放源和项目编码。</w:t>
      </w:r>
    </w:p>
    <w:p w14:paraId="63B5F1B4">
      <w:pPr>
        <w:spacing w:after="80" w:line="300" w:lineRule="auto"/>
        <w:ind w:left="420"/>
      </w:pPr>
      <w:r>
        <w:rPr>
          <w:rFonts w:ascii="Arial" w:hAnsi="Arial" w:eastAsia="微软雅黑"/>
        </w:rPr>
        <w:t>（3）数据交换：支持按日、月、季、年导出活动数据、核算结果、报表和证据包。</w:t>
      </w:r>
    </w:p>
    <w:p w14:paraId="3503E9AE">
      <w:pPr>
        <w:pStyle w:val="4"/>
        <w:spacing w:after="100" w:line="300" w:lineRule="auto"/>
      </w:pPr>
      <w:bookmarkStart w:id="189" w:name="_Toc21520"/>
      <w:r>
        <w:rPr>
          <w:rFonts w:hint="eastAsia" w:eastAsia="微软雅黑"/>
          <w:b/>
          <w:color w:val="404040"/>
          <w:sz w:val="22"/>
          <w:szCs w:val="22"/>
          <w:lang w:val="en-US" w:eastAsia="zh-CN"/>
        </w:rPr>
        <w:t>6</w:t>
      </w:r>
      <w:r>
        <w:rPr>
          <w:rFonts w:ascii="Arial" w:hAnsi="Arial" w:eastAsia="微软雅黑"/>
          <w:b/>
          <w:color w:val="404040"/>
          <w:sz w:val="22"/>
          <w:szCs w:val="22"/>
        </w:rPr>
        <w:t>.5.2 数据安全与隐私保护</w:t>
      </w:r>
      <w:bookmarkEnd w:id="189"/>
    </w:p>
    <w:tbl>
      <w:tblPr>
        <w:tblStyle w:val="25"/>
        <w:tblW w:w="9026" w:type="dxa"/>
        <w:tblInd w:w="0" w:type="dxa"/>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Layout w:type="autofit"/>
        <w:tblCellMar>
          <w:top w:w="0" w:type="dxa"/>
          <w:left w:w="108" w:type="dxa"/>
          <w:bottom w:w="0" w:type="dxa"/>
          <w:right w:w="108" w:type="dxa"/>
        </w:tblCellMar>
      </w:tblPr>
      <w:tblGrid>
        <w:gridCol w:w="1900"/>
        <w:gridCol w:w="7126"/>
      </w:tblGrid>
      <w:tr w14:paraId="062C71AE">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900" w:type="dxa"/>
            <w:shd w:val="clear" w:color="auto" w:fill="DCEEF7"/>
            <w:tcMar>
              <w:top w:w="90" w:type="dxa"/>
              <w:left w:w="120" w:type="dxa"/>
              <w:bottom w:w="90" w:type="dxa"/>
              <w:right w:w="120" w:type="dxa"/>
            </w:tcMar>
          </w:tcPr>
          <w:p w14:paraId="7D84599D">
            <w:pPr>
              <w:spacing w:after="0" w:line="300" w:lineRule="auto"/>
            </w:pPr>
            <w:r>
              <w:rPr>
                <w:rFonts w:ascii="Arial" w:hAnsi="Arial" w:eastAsia="微软雅黑"/>
                <w:b/>
              </w:rPr>
              <w:t>安全项</w:t>
            </w:r>
          </w:p>
        </w:tc>
        <w:tc>
          <w:tcPr>
            <w:tcW w:w="7126" w:type="dxa"/>
            <w:shd w:val="clear" w:color="auto" w:fill="DCEEF7"/>
            <w:tcMar>
              <w:top w:w="90" w:type="dxa"/>
              <w:left w:w="120" w:type="dxa"/>
              <w:bottom w:w="90" w:type="dxa"/>
              <w:right w:w="120" w:type="dxa"/>
            </w:tcMar>
          </w:tcPr>
          <w:p w14:paraId="4D209685">
            <w:pPr>
              <w:spacing w:after="0" w:line="300" w:lineRule="auto"/>
            </w:pPr>
            <w:r>
              <w:rPr>
                <w:rFonts w:ascii="Arial" w:hAnsi="Arial" w:eastAsia="微软雅黑"/>
                <w:b/>
              </w:rPr>
              <w:t>要求</w:t>
            </w:r>
          </w:p>
        </w:tc>
      </w:tr>
      <w:tr w14:paraId="65EF85C2">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900" w:type="dxa"/>
            <w:shd w:val="clear" w:color="auto" w:fill="FFFFFF"/>
            <w:tcMar>
              <w:top w:w="90" w:type="dxa"/>
              <w:left w:w="120" w:type="dxa"/>
              <w:bottom w:w="90" w:type="dxa"/>
              <w:right w:w="120" w:type="dxa"/>
            </w:tcMar>
          </w:tcPr>
          <w:p w14:paraId="7600E133">
            <w:pPr>
              <w:spacing w:after="0" w:line="300" w:lineRule="auto"/>
            </w:pPr>
            <w:r>
              <w:rPr>
                <w:rFonts w:ascii="Arial" w:hAnsi="Arial" w:eastAsia="微软雅黑"/>
              </w:rPr>
              <w:t>身份认证</w:t>
            </w:r>
          </w:p>
        </w:tc>
        <w:tc>
          <w:tcPr>
            <w:tcW w:w="7126" w:type="dxa"/>
            <w:shd w:val="clear" w:color="auto" w:fill="FFFFFF"/>
            <w:tcMar>
              <w:top w:w="90" w:type="dxa"/>
              <w:left w:w="120" w:type="dxa"/>
              <w:bottom w:w="90" w:type="dxa"/>
              <w:right w:w="120" w:type="dxa"/>
            </w:tcMar>
          </w:tcPr>
          <w:p w14:paraId="72358413">
            <w:pPr>
              <w:spacing w:after="0" w:line="300" w:lineRule="auto"/>
            </w:pPr>
            <w:r>
              <w:rPr>
                <w:rFonts w:ascii="Arial" w:hAnsi="Arial" w:eastAsia="微软雅黑"/>
              </w:rPr>
              <w:t>支持账号密码、短信/邮件验证码、单点登录和多因素认证扩展。</w:t>
            </w:r>
          </w:p>
        </w:tc>
      </w:tr>
      <w:tr w14:paraId="60D57968">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900" w:type="dxa"/>
            <w:shd w:val="clear" w:color="auto" w:fill="F7FBFD"/>
            <w:tcMar>
              <w:top w:w="90" w:type="dxa"/>
              <w:left w:w="120" w:type="dxa"/>
              <w:bottom w:w="90" w:type="dxa"/>
              <w:right w:w="120" w:type="dxa"/>
            </w:tcMar>
          </w:tcPr>
          <w:p w14:paraId="5066CEAC">
            <w:pPr>
              <w:spacing w:after="0" w:line="300" w:lineRule="auto"/>
            </w:pPr>
            <w:r>
              <w:rPr>
                <w:rFonts w:ascii="Arial" w:hAnsi="Arial" w:eastAsia="微软雅黑"/>
              </w:rPr>
              <w:t>权限隔离</w:t>
            </w:r>
          </w:p>
        </w:tc>
        <w:tc>
          <w:tcPr>
            <w:tcW w:w="7126" w:type="dxa"/>
            <w:shd w:val="clear" w:color="auto" w:fill="F7FBFD"/>
            <w:tcMar>
              <w:top w:w="90" w:type="dxa"/>
              <w:left w:w="120" w:type="dxa"/>
              <w:bottom w:w="90" w:type="dxa"/>
              <w:right w:w="120" w:type="dxa"/>
            </w:tcMar>
          </w:tcPr>
          <w:p w14:paraId="4D5998E3">
            <w:pPr>
              <w:spacing w:after="0" w:line="300" w:lineRule="auto"/>
            </w:pPr>
            <w:r>
              <w:rPr>
                <w:rFonts w:ascii="Arial" w:hAnsi="Arial" w:eastAsia="微软雅黑"/>
              </w:rPr>
              <w:t>按管委会、物业、企业租户、第三方核查和系统管理员进行分级授权。</w:t>
            </w:r>
          </w:p>
        </w:tc>
      </w:tr>
      <w:tr w14:paraId="411037D1">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900" w:type="dxa"/>
            <w:shd w:val="clear" w:color="auto" w:fill="FFFFFF"/>
            <w:tcMar>
              <w:top w:w="90" w:type="dxa"/>
              <w:left w:w="120" w:type="dxa"/>
              <w:bottom w:w="90" w:type="dxa"/>
              <w:right w:w="120" w:type="dxa"/>
            </w:tcMar>
          </w:tcPr>
          <w:p w14:paraId="3E6FEAE0">
            <w:pPr>
              <w:spacing w:after="0" w:line="300" w:lineRule="auto"/>
            </w:pPr>
            <w:r>
              <w:rPr>
                <w:rFonts w:ascii="Arial" w:hAnsi="Arial" w:eastAsia="微软雅黑"/>
              </w:rPr>
              <w:t>数据隔离</w:t>
            </w:r>
          </w:p>
        </w:tc>
        <w:tc>
          <w:tcPr>
            <w:tcW w:w="7126" w:type="dxa"/>
            <w:shd w:val="clear" w:color="auto" w:fill="FFFFFF"/>
            <w:tcMar>
              <w:top w:w="90" w:type="dxa"/>
              <w:left w:w="120" w:type="dxa"/>
              <w:bottom w:w="90" w:type="dxa"/>
              <w:right w:w="120" w:type="dxa"/>
            </w:tcMar>
          </w:tcPr>
          <w:p w14:paraId="3BCC48B1">
            <w:pPr>
              <w:spacing w:after="0" w:line="300" w:lineRule="auto"/>
            </w:pPr>
            <w:r>
              <w:rPr>
                <w:rFonts w:ascii="Arial" w:hAnsi="Arial" w:eastAsia="微软雅黑"/>
              </w:rPr>
              <w:t>租户仅可访问自身能耗、碳排放、账单和报告数据；园区侧按授权汇总展示。</w:t>
            </w:r>
          </w:p>
        </w:tc>
      </w:tr>
      <w:tr w14:paraId="24BD7D8F">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900" w:type="dxa"/>
            <w:shd w:val="clear" w:color="auto" w:fill="F7FBFD"/>
            <w:tcMar>
              <w:top w:w="90" w:type="dxa"/>
              <w:left w:w="120" w:type="dxa"/>
              <w:bottom w:w="90" w:type="dxa"/>
              <w:right w:w="120" w:type="dxa"/>
            </w:tcMar>
          </w:tcPr>
          <w:p w14:paraId="581E451A">
            <w:pPr>
              <w:spacing w:after="0" w:line="300" w:lineRule="auto"/>
            </w:pPr>
            <w:r>
              <w:rPr>
                <w:rFonts w:ascii="Arial" w:hAnsi="Arial" w:eastAsia="微软雅黑"/>
              </w:rPr>
              <w:t>传输安全</w:t>
            </w:r>
          </w:p>
        </w:tc>
        <w:tc>
          <w:tcPr>
            <w:tcW w:w="7126" w:type="dxa"/>
            <w:shd w:val="clear" w:color="auto" w:fill="F7FBFD"/>
            <w:tcMar>
              <w:top w:w="90" w:type="dxa"/>
              <w:left w:w="120" w:type="dxa"/>
              <w:bottom w:w="90" w:type="dxa"/>
              <w:right w:w="120" w:type="dxa"/>
            </w:tcMar>
          </w:tcPr>
          <w:p w14:paraId="50538279">
            <w:pPr>
              <w:spacing w:after="0" w:line="300" w:lineRule="auto"/>
            </w:pPr>
            <w:r>
              <w:rPr>
                <w:rFonts w:ascii="Arial" w:hAnsi="Arial" w:eastAsia="微软雅黑"/>
              </w:rPr>
              <w:t>采集网关、平台接口和外部系统交换采用加密通道和白名单策略。</w:t>
            </w:r>
          </w:p>
        </w:tc>
      </w:tr>
      <w:tr w14:paraId="016A1E09">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900" w:type="dxa"/>
            <w:shd w:val="clear" w:color="auto" w:fill="FFFFFF"/>
            <w:tcMar>
              <w:top w:w="90" w:type="dxa"/>
              <w:left w:w="120" w:type="dxa"/>
              <w:bottom w:w="90" w:type="dxa"/>
              <w:right w:w="120" w:type="dxa"/>
            </w:tcMar>
          </w:tcPr>
          <w:p w14:paraId="3B6FDEF6">
            <w:pPr>
              <w:spacing w:after="0" w:line="300" w:lineRule="auto"/>
            </w:pPr>
            <w:r>
              <w:rPr>
                <w:rFonts w:ascii="Arial" w:hAnsi="Arial" w:eastAsia="微软雅黑"/>
              </w:rPr>
              <w:t>审计留痕</w:t>
            </w:r>
          </w:p>
        </w:tc>
        <w:tc>
          <w:tcPr>
            <w:tcW w:w="7126" w:type="dxa"/>
            <w:shd w:val="clear" w:color="auto" w:fill="FFFFFF"/>
            <w:tcMar>
              <w:top w:w="90" w:type="dxa"/>
              <w:left w:w="120" w:type="dxa"/>
              <w:bottom w:w="90" w:type="dxa"/>
              <w:right w:w="120" w:type="dxa"/>
            </w:tcMar>
          </w:tcPr>
          <w:p w14:paraId="71E57F95">
            <w:pPr>
              <w:spacing w:after="0" w:line="300" w:lineRule="auto"/>
            </w:pPr>
            <w:r>
              <w:rPr>
                <w:rFonts w:ascii="Arial" w:hAnsi="Arial" w:eastAsia="微软雅黑"/>
              </w:rPr>
              <w:t>登录、查询、修改、审批、导入、导出、报表生成和接口调用全部记录。</w:t>
            </w:r>
          </w:p>
        </w:tc>
      </w:tr>
    </w:tbl>
    <w:p w14:paraId="231205BE">
      <w:pPr>
        <w:spacing w:after="120" w:line="300" w:lineRule="auto"/>
      </w:pPr>
    </w:p>
    <w:p w14:paraId="086FCBD6">
      <w:pPr>
        <w:pStyle w:val="3"/>
        <w:spacing w:after="140" w:line="300" w:lineRule="auto"/>
        <w:rPr>
          <w:rFonts w:hint="eastAsia" w:eastAsia="微软雅黑"/>
          <w:b/>
          <w:color w:val="auto"/>
          <w:sz w:val="24"/>
          <w:szCs w:val="24"/>
          <w:lang w:val="en-US" w:eastAsia="zh-CN"/>
        </w:rPr>
      </w:pPr>
      <w:bookmarkStart w:id="190" w:name="_Toc411"/>
      <w:r>
        <w:rPr>
          <w:rFonts w:hint="eastAsia" w:eastAsia="微软雅黑"/>
          <w:b/>
          <w:color w:val="auto"/>
          <w:sz w:val="24"/>
          <w:szCs w:val="24"/>
          <w:lang w:val="en-US" w:eastAsia="zh-CN"/>
        </w:rPr>
        <w:t>6.6 实施路径与运营模式</w:t>
      </w:r>
      <w:bookmarkEnd w:id="190"/>
    </w:p>
    <w:p w14:paraId="09E8E538">
      <w:pPr>
        <w:pStyle w:val="4"/>
        <w:spacing w:after="100" w:line="300" w:lineRule="auto"/>
      </w:pPr>
      <w:bookmarkStart w:id="191" w:name="_Toc15635"/>
      <w:r>
        <w:rPr>
          <w:rFonts w:hint="eastAsia" w:eastAsia="微软雅黑"/>
          <w:b/>
          <w:color w:val="404040"/>
          <w:sz w:val="22"/>
          <w:szCs w:val="22"/>
          <w:lang w:val="en-US" w:eastAsia="zh-CN"/>
        </w:rPr>
        <w:t>6</w:t>
      </w:r>
      <w:r>
        <w:rPr>
          <w:rFonts w:ascii="Arial" w:hAnsi="Arial" w:eastAsia="微软雅黑"/>
          <w:b/>
          <w:color w:val="404040"/>
          <w:sz w:val="22"/>
          <w:szCs w:val="22"/>
        </w:rPr>
        <w:t>.6.1 分阶段实施</w:t>
      </w:r>
      <w:bookmarkEnd w:id="191"/>
    </w:p>
    <w:tbl>
      <w:tblPr>
        <w:tblStyle w:val="25"/>
        <w:tblW w:w="9026" w:type="dxa"/>
        <w:tblInd w:w="0" w:type="dxa"/>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Layout w:type="autofit"/>
        <w:tblCellMar>
          <w:top w:w="0" w:type="dxa"/>
          <w:left w:w="108" w:type="dxa"/>
          <w:bottom w:w="0" w:type="dxa"/>
          <w:right w:w="108" w:type="dxa"/>
        </w:tblCellMar>
      </w:tblPr>
      <w:tblGrid>
        <w:gridCol w:w="1800"/>
        <w:gridCol w:w="4700"/>
        <w:gridCol w:w="2526"/>
      </w:tblGrid>
      <w:tr w14:paraId="1A50F30A">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800" w:type="dxa"/>
            <w:shd w:val="clear" w:color="auto" w:fill="DCEEF7"/>
            <w:tcMar>
              <w:top w:w="90" w:type="dxa"/>
              <w:left w:w="120" w:type="dxa"/>
              <w:bottom w:w="90" w:type="dxa"/>
              <w:right w:w="120" w:type="dxa"/>
            </w:tcMar>
          </w:tcPr>
          <w:p w14:paraId="02DE06E3">
            <w:pPr>
              <w:spacing w:after="0" w:line="300" w:lineRule="auto"/>
            </w:pPr>
            <w:r>
              <w:rPr>
                <w:rFonts w:ascii="Arial" w:hAnsi="Arial" w:eastAsia="微软雅黑"/>
                <w:b/>
              </w:rPr>
              <w:t>阶段</w:t>
            </w:r>
          </w:p>
        </w:tc>
        <w:tc>
          <w:tcPr>
            <w:tcW w:w="4700" w:type="dxa"/>
            <w:shd w:val="clear" w:color="auto" w:fill="DCEEF7"/>
            <w:tcMar>
              <w:top w:w="90" w:type="dxa"/>
              <w:left w:w="120" w:type="dxa"/>
              <w:bottom w:w="90" w:type="dxa"/>
              <w:right w:w="120" w:type="dxa"/>
            </w:tcMar>
          </w:tcPr>
          <w:p w14:paraId="5B85A74E">
            <w:pPr>
              <w:spacing w:after="0" w:line="300" w:lineRule="auto"/>
            </w:pPr>
            <w:r>
              <w:rPr>
                <w:rFonts w:ascii="Arial" w:hAnsi="Arial" w:eastAsia="微软雅黑"/>
                <w:b/>
              </w:rPr>
              <w:t>主要工作</w:t>
            </w:r>
          </w:p>
        </w:tc>
        <w:tc>
          <w:tcPr>
            <w:tcW w:w="2526" w:type="dxa"/>
            <w:shd w:val="clear" w:color="auto" w:fill="DCEEF7"/>
            <w:tcMar>
              <w:top w:w="90" w:type="dxa"/>
              <w:left w:w="120" w:type="dxa"/>
              <w:bottom w:w="90" w:type="dxa"/>
              <w:right w:w="120" w:type="dxa"/>
            </w:tcMar>
          </w:tcPr>
          <w:p w14:paraId="29391D63">
            <w:pPr>
              <w:spacing w:after="0" w:line="300" w:lineRule="auto"/>
            </w:pPr>
            <w:r>
              <w:rPr>
                <w:rFonts w:ascii="Arial" w:hAnsi="Arial" w:eastAsia="微软雅黑"/>
                <w:b/>
              </w:rPr>
              <w:t>交付物</w:t>
            </w:r>
          </w:p>
        </w:tc>
      </w:tr>
      <w:tr w14:paraId="36D90526">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800" w:type="dxa"/>
            <w:shd w:val="clear" w:color="auto" w:fill="FFFFFF"/>
            <w:tcMar>
              <w:top w:w="90" w:type="dxa"/>
              <w:left w:w="120" w:type="dxa"/>
              <w:bottom w:w="90" w:type="dxa"/>
              <w:right w:w="120" w:type="dxa"/>
            </w:tcMar>
          </w:tcPr>
          <w:p w14:paraId="283D78EE">
            <w:pPr>
              <w:spacing w:after="0" w:line="300" w:lineRule="auto"/>
            </w:pPr>
            <w:r>
              <w:rPr>
                <w:rFonts w:ascii="Arial" w:hAnsi="Arial" w:eastAsia="微软雅黑"/>
              </w:rPr>
              <w:t>第一阶段：调研与边界确认</w:t>
            </w:r>
          </w:p>
        </w:tc>
        <w:tc>
          <w:tcPr>
            <w:tcW w:w="4700" w:type="dxa"/>
            <w:shd w:val="clear" w:color="auto" w:fill="FFFFFF"/>
            <w:tcMar>
              <w:top w:w="90" w:type="dxa"/>
              <w:left w:w="120" w:type="dxa"/>
              <w:bottom w:w="90" w:type="dxa"/>
              <w:right w:w="120" w:type="dxa"/>
            </w:tcMar>
          </w:tcPr>
          <w:p w14:paraId="452B9505">
            <w:pPr>
              <w:spacing w:after="0" w:line="300" w:lineRule="auto"/>
            </w:pPr>
            <w:r>
              <w:rPr>
                <w:rFonts w:ascii="Arial" w:hAnsi="Arial" w:eastAsia="微软雅黑"/>
              </w:rPr>
              <w:t>梳理园区组织边界、租户清单、能源系统、计量点、数据源、控排/预备行业企业和碳资产机会。</w:t>
            </w:r>
          </w:p>
        </w:tc>
        <w:tc>
          <w:tcPr>
            <w:tcW w:w="2526" w:type="dxa"/>
            <w:shd w:val="clear" w:color="auto" w:fill="FFFFFF"/>
            <w:tcMar>
              <w:top w:w="90" w:type="dxa"/>
              <w:left w:w="120" w:type="dxa"/>
              <w:bottom w:w="90" w:type="dxa"/>
              <w:right w:w="120" w:type="dxa"/>
            </w:tcMar>
          </w:tcPr>
          <w:p w14:paraId="61EF4AE4">
            <w:pPr>
              <w:spacing w:after="0" w:line="300" w:lineRule="auto"/>
            </w:pPr>
            <w:r>
              <w:rPr>
                <w:rFonts w:ascii="Arial" w:hAnsi="Arial" w:eastAsia="微软雅黑"/>
              </w:rPr>
              <w:t>调研报告、计量点清单、核算边界、实施蓝图。</w:t>
            </w:r>
          </w:p>
        </w:tc>
      </w:tr>
      <w:tr w14:paraId="76C93ED7">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800" w:type="dxa"/>
            <w:shd w:val="clear" w:color="auto" w:fill="F7FBFD"/>
            <w:tcMar>
              <w:top w:w="90" w:type="dxa"/>
              <w:left w:w="120" w:type="dxa"/>
              <w:bottom w:w="90" w:type="dxa"/>
              <w:right w:w="120" w:type="dxa"/>
            </w:tcMar>
          </w:tcPr>
          <w:p w14:paraId="788C66C8">
            <w:pPr>
              <w:spacing w:after="0" w:line="300" w:lineRule="auto"/>
            </w:pPr>
            <w:r>
              <w:rPr>
                <w:rFonts w:ascii="Arial" w:hAnsi="Arial" w:eastAsia="微软雅黑"/>
              </w:rPr>
              <w:t>第二阶段：计量与采集建设</w:t>
            </w:r>
          </w:p>
        </w:tc>
        <w:tc>
          <w:tcPr>
            <w:tcW w:w="4700" w:type="dxa"/>
            <w:shd w:val="clear" w:color="auto" w:fill="F7FBFD"/>
            <w:tcMar>
              <w:top w:w="90" w:type="dxa"/>
              <w:left w:w="120" w:type="dxa"/>
              <w:bottom w:w="90" w:type="dxa"/>
              <w:right w:w="120" w:type="dxa"/>
            </w:tcMar>
          </w:tcPr>
          <w:p w14:paraId="343FAB50">
            <w:pPr>
              <w:spacing w:after="0" w:line="300" w:lineRule="auto"/>
            </w:pPr>
            <w:r>
              <w:rPr>
                <w:rFonts w:ascii="Arial" w:hAnsi="Arial" w:eastAsia="微软雅黑"/>
              </w:rPr>
              <w:t>补齐关键表计和采集终端，接入BA/BMS、配电、冷站、光伏储能和企业系统数据。</w:t>
            </w:r>
          </w:p>
        </w:tc>
        <w:tc>
          <w:tcPr>
            <w:tcW w:w="2526" w:type="dxa"/>
            <w:shd w:val="clear" w:color="auto" w:fill="F7FBFD"/>
            <w:tcMar>
              <w:top w:w="90" w:type="dxa"/>
              <w:left w:w="120" w:type="dxa"/>
              <w:bottom w:w="90" w:type="dxa"/>
              <w:right w:w="120" w:type="dxa"/>
            </w:tcMar>
          </w:tcPr>
          <w:p w14:paraId="7F08D476">
            <w:pPr>
              <w:spacing w:after="0" w:line="300" w:lineRule="auto"/>
            </w:pPr>
            <w:r>
              <w:rPr>
                <w:rFonts w:ascii="Arial" w:hAnsi="Arial" w:eastAsia="微软雅黑"/>
              </w:rPr>
              <w:t>采集网络、点表、数据质量报告、基础能耗看板。</w:t>
            </w:r>
          </w:p>
        </w:tc>
      </w:tr>
      <w:tr w14:paraId="04A4F7E3">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800" w:type="dxa"/>
            <w:shd w:val="clear" w:color="auto" w:fill="FFFFFF"/>
            <w:tcMar>
              <w:top w:w="90" w:type="dxa"/>
              <w:left w:w="120" w:type="dxa"/>
              <w:bottom w:w="90" w:type="dxa"/>
              <w:right w:w="120" w:type="dxa"/>
            </w:tcMar>
          </w:tcPr>
          <w:p w14:paraId="36DEC724">
            <w:pPr>
              <w:spacing w:after="0" w:line="300" w:lineRule="auto"/>
            </w:pPr>
            <w:r>
              <w:rPr>
                <w:rFonts w:ascii="Arial" w:hAnsi="Arial" w:eastAsia="微软雅黑"/>
              </w:rPr>
              <w:t>第三阶段：能耗监测上线</w:t>
            </w:r>
          </w:p>
        </w:tc>
        <w:tc>
          <w:tcPr>
            <w:tcW w:w="4700" w:type="dxa"/>
            <w:shd w:val="clear" w:color="auto" w:fill="FFFFFF"/>
            <w:tcMar>
              <w:top w:w="90" w:type="dxa"/>
              <w:left w:w="120" w:type="dxa"/>
              <w:bottom w:w="90" w:type="dxa"/>
              <w:right w:w="120" w:type="dxa"/>
            </w:tcMar>
          </w:tcPr>
          <w:p w14:paraId="610F0896">
            <w:pPr>
              <w:spacing w:after="0" w:line="300" w:lineRule="auto"/>
            </w:pPr>
            <w:r>
              <w:rPr>
                <w:rFonts w:ascii="Arial" w:hAnsi="Arial" w:eastAsia="微软雅黑"/>
              </w:rPr>
              <w:t>上线分项分户、能耗查询、报警、公示评价、报表和移动端。</w:t>
            </w:r>
          </w:p>
        </w:tc>
        <w:tc>
          <w:tcPr>
            <w:tcW w:w="2526" w:type="dxa"/>
            <w:shd w:val="clear" w:color="auto" w:fill="FFFFFF"/>
            <w:tcMar>
              <w:top w:w="90" w:type="dxa"/>
              <w:left w:w="120" w:type="dxa"/>
              <w:bottom w:w="90" w:type="dxa"/>
              <w:right w:w="120" w:type="dxa"/>
            </w:tcMar>
          </w:tcPr>
          <w:p w14:paraId="3E6C3055">
            <w:pPr>
              <w:spacing w:after="0" w:line="300" w:lineRule="auto"/>
            </w:pPr>
            <w:r>
              <w:rPr>
                <w:rFonts w:ascii="Arial" w:hAnsi="Arial" w:eastAsia="微软雅黑"/>
              </w:rPr>
              <w:t>能耗在线监测系统、报警规则、月报模板。</w:t>
            </w:r>
          </w:p>
        </w:tc>
      </w:tr>
      <w:tr w14:paraId="664323F0">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800" w:type="dxa"/>
            <w:shd w:val="clear" w:color="auto" w:fill="F7FBFD"/>
            <w:tcMar>
              <w:top w:w="90" w:type="dxa"/>
              <w:left w:w="120" w:type="dxa"/>
              <w:bottom w:w="90" w:type="dxa"/>
              <w:right w:w="120" w:type="dxa"/>
            </w:tcMar>
          </w:tcPr>
          <w:p w14:paraId="1B5FA452">
            <w:pPr>
              <w:spacing w:after="0" w:line="300" w:lineRule="auto"/>
            </w:pPr>
            <w:r>
              <w:rPr>
                <w:rFonts w:ascii="Arial" w:hAnsi="Arial" w:eastAsia="微软雅黑"/>
              </w:rPr>
              <w:t>第四阶段：碳核算上线</w:t>
            </w:r>
          </w:p>
        </w:tc>
        <w:tc>
          <w:tcPr>
            <w:tcW w:w="4700" w:type="dxa"/>
            <w:shd w:val="clear" w:color="auto" w:fill="F7FBFD"/>
            <w:tcMar>
              <w:top w:w="90" w:type="dxa"/>
              <w:left w:w="120" w:type="dxa"/>
              <w:bottom w:w="90" w:type="dxa"/>
              <w:right w:w="120" w:type="dxa"/>
            </w:tcMar>
          </w:tcPr>
          <w:p w14:paraId="20E49060">
            <w:pPr>
              <w:spacing w:after="0" w:line="300" w:lineRule="auto"/>
            </w:pPr>
            <w:r>
              <w:rPr>
                <w:rFonts w:ascii="Arial" w:hAnsi="Arial" w:eastAsia="微软雅黑"/>
              </w:rPr>
              <w:t>上线因子库、活动数据台账、范围一/二/三核算、碳账本和报告模板。</w:t>
            </w:r>
          </w:p>
        </w:tc>
        <w:tc>
          <w:tcPr>
            <w:tcW w:w="2526" w:type="dxa"/>
            <w:shd w:val="clear" w:color="auto" w:fill="F7FBFD"/>
            <w:tcMar>
              <w:top w:w="90" w:type="dxa"/>
              <w:left w:w="120" w:type="dxa"/>
              <w:bottom w:w="90" w:type="dxa"/>
              <w:right w:w="120" w:type="dxa"/>
            </w:tcMar>
          </w:tcPr>
          <w:p w14:paraId="6D22D4A4">
            <w:pPr>
              <w:spacing w:after="0" w:line="300" w:lineRule="auto"/>
            </w:pPr>
            <w:r>
              <w:rPr>
                <w:rFonts w:ascii="Arial" w:hAnsi="Arial" w:eastAsia="微软雅黑"/>
              </w:rPr>
              <w:t>园区碳账本、企业碳报告辅助表、核查底稿。</w:t>
            </w:r>
          </w:p>
        </w:tc>
      </w:tr>
      <w:tr w14:paraId="40F122B9">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800" w:type="dxa"/>
            <w:shd w:val="clear" w:color="auto" w:fill="FFFFFF"/>
            <w:tcMar>
              <w:top w:w="90" w:type="dxa"/>
              <w:left w:w="120" w:type="dxa"/>
              <w:bottom w:w="90" w:type="dxa"/>
              <w:right w:w="120" w:type="dxa"/>
            </w:tcMar>
          </w:tcPr>
          <w:p w14:paraId="6ABAD99D">
            <w:pPr>
              <w:spacing w:after="0" w:line="300" w:lineRule="auto"/>
            </w:pPr>
            <w:r>
              <w:rPr>
                <w:rFonts w:ascii="Arial" w:hAnsi="Arial" w:eastAsia="微软雅黑"/>
              </w:rPr>
              <w:t>第五阶段：碳资产与交易准备</w:t>
            </w:r>
          </w:p>
        </w:tc>
        <w:tc>
          <w:tcPr>
            <w:tcW w:w="4700" w:type="dxa"/>
            <w:shd w:val="clear" w:color="auto" w:fill="FFFFFF"/>
            <w:tcMar>
              <w:top w:w="90" w:type="dxa"/>
              <w:left w:w="120" w:type="dxa"/>
              <w:bottom w:w="90" w:type="dxa"/>
              <w:right w:w="120" w:type="dxa"/>
            </w:tcMar>
          </w:tcPr>
          <w:p w14:paraId="2ED89F0F">
            <w:pPr>
              <w:spacing w:after="0" w:line="300" w:lineRule="auto"/>
            </w:pPr>
            <w:r>
              <w:rPr>
                <w:rFonts w:ascii="Arial" w:hAnsi="Arial" w:eastAsia="微软雅黑"/>
              </w:rPr>
              <w:t>筛选节能改造、CCER、绿电绿证和配额履约试点，建立交易决策看板。</w:t>
            </w:r>
          </w:p>
        </w:tc>
        <w:tc>
          <w:tcPr>
            <w:tcW w:w="2526" w:type="dxa"/>
            <w:shd w:val="clear" w:color="auto" w:fill="FFFFFF"/>
            <w:tcMar>
              <w:top w:w="90" w:type="dxa"/>
              <w:left w:w="120" w:type="dxa"/>
              <w:bottom w:w="90" w:type="dxa"/>
              <w:right w:w="120" w:type="dxa"/>
            </w:tcMar>
          </w:tcPr>
          <w:p w14:paraId="23BE2AF8">
            <w:pPr>
              <w:spacing w:after="0" w:line="300" w:lineRule="auto"/>
            </w:pPr>
            <w:r>
              <w:rPr>
                <w:rFonts w:ascii="Arial" w:hAnsi="Arial" w:eastAsia="微软雅黑"/>
              </w:rPr>
              <w:t>减排项目库、交易准备看板、MRV证据包。</w:t>
            </w:r>
          </w:p>
        </w:tc>
      </w:tr>
    </w:tbl>
    <w:p w14:paraId="1E31AF8E">
      <w:pPr>
        <w:spacing w:after="120" w:line="300" w:lineRule="auto"/>
      </w:pPr>
    </w:p>
    <w:p w14:paraId="43F98B50">
      <w:pPr>
        <w:pStyle w:val="4"/>
        <w:spacing w:after="100" w:line="300" w:lineRule="auto"/>
      </w:pPr>
      <w:bookmarkStart w:id="192" w:name="_Toc29882"/>
      <w:r>
        <w:rPr>
          <w:rFonts w:hint="eastAsia" w:eastAsia="微软雅黑"/>
          <w:b/>
          <w:color w:val="404040"/>
          <w:sz w:val="22"/>
          <w:szCs w:val="22"/>
          <w:lang w:val="en-US" w:eastAsia="zh-CN"/>
        </w:rPr>
        <w:t>6</w:t>
      </w:r>
      <w:r>
        <w:rPr>
          <w:rFonts w:ascii="Arial" w:hAnsi="Arial" w:eastAsia="微软雅黑"/>
          <w:b/>
          <w:color w:val="404040"/>
          <w:sz w:val="22"/>
          <w:szCs w:val="22"/>
        </w:rPr>
        <w:t>.6.2 运营服务模式</w:t>
      </w:r>
      <w:bookmarkEnd w:id="192"/>
    </w:p>
    <w:tbl>
      <w:tblPr>
        <w:tblStyle w:val="25"/>
        <w:tblW w:w="9026" w:type="dxa"/>
        <w:tblInd w:w="0" w:type="dxa"/>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Layout w:type="autofit"/>
        <w:tblCellMar>
          <w:top w:w="0" w:type="dxa"/>
          <w:left w:w="108" w:type="dxa"/>
          <w:bottom w:w="0" w:type="dxa"/>
          <w:right w:w="108" w:type="dxa"/>
        </w:tblCellMar>
      </w:tblPr>
      <w:tblGrid>
        <w:gridCol w:w="1900"/>
        <w:gridCol w:w="2900"/>
        <w:gridCol w:w="4226"/>
      </w:tblGrid>
      <w:tr w14:paraId="61962082">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900" w:type="dxa"/>
            <w:shd w:val="clear" w:color="auto" w:fill="DCEEF7"/>
            <w:tcMar>
              <w:top w:w="90" w:type="dxa"/>
              <w:left w:w="120" w:type="dxa"/>
              <w:bottom w:w="90" w:type="dxa"/>
              <w:right w:w="120" w:type="dxa"/>
            </w:tcMar>
          </w:tcPr>
          <w:p w14:paraId="0F4A965D">
            <w:pPr>
              <w:spacing w:after="0" w:line="300" w:lineRule="auto"/>
            </w:pPr>
            <w:r>
              <w:rPr>
                <w:rFonts w:ascii="Arial" w:hAnsi="Arial" w:eastAsia="微软雅黑"/>
                <w:b/>
              </w:rPr>
              <w:t>服务模式</w:t>
            </w:r>
          </w:p>
        </w:tc>
        <w:tc>
          <w:tcPr>
            <w:tcW w:w="2900" w:type="dxa"/>
            <w:shd w:val="clear" w:color="auto" w:fill="DCEEF7"/>
            <w:tcMar>
              <w:top w:w="90" w:type="dxa"/>
              <w:left w:w="120" w:type="dxa"/>
              <w:bottom w:w="90" w:type="dxa"/>
              <w:right w:w="120" w:type="dxa"/>
            </w:tcMar>
          </w:tcPr>
          <w:p w14:paraId="5C416C8A">
            <w:pPr>
              <w:spacing w:after="0" w:line="300" w:lineRule="auto"/>
            </w:pPr>
            <w:r>
              <w:rPr>
                <w:rFonts w:ascii="Arial" w:hAnsi="Arial" w:eastAsia="微软雅黑"/>
                <w:b/>
              </w:rPr>
              <w:t>适用客户</w:t>
            </w:r>
          </w:p>
        </w:tc>
        <w:tc>
          <w:tcPr>
            <w:tcW w:w="4226" w:type="dxa"/>
            <w:shd w:val="clear" w:color="auto" w:fill="DCEEF7"/>
            <w:tcMar>
              <w:top w:w="90" w:type="dxa"/>
              <w:left w:w="120" w:type="dxa"/>
              <w:bottom w:w="90" w:type="dxa"/>
              <w:right w:w="120" w:type="dxa"/>
            </w:tcMar>
          </w:tcPr>
          <w:p w14:paraId="3F67FC24">
            <w:pPr>
              <w:spacing w:after="0" w:line="300" w:lineRule="auto"/>
            </w:pPr>
            <w:r>
              <w:rPr>
                <w:rFonts w:ascii="Arial" w:hAnsi="Arial" w:eastAsia="微软雅黑"/>
                <w:b/>
              </w:rPr>
              <w:t>服务内容</w:t>
            </w:r>
          </w:p>
        </w:tc>
      </w:tr>
      <w:tr w14:paraId="50EABF66">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900" w:type="dxa"/>
            <w:shd w:val="clear" w:color="auto" w:fill="FFFFFF"/>
            <w:tcMar>
              <w:top w:w="90" w:type="dxa"/>
              <w:left w:w="120" w:type="dxa"/>
              <w:bottom w:w="90" w:type="dxa"/>
              <w:right w:w="120" w:type="dxa"/>
            </w:tcMar>
          </w:tcPr>
          <w:p w14:paraId="06A8DFDA">
            <w:pPr>
              <w:spacing w:after="0" w:line="300" w:lineRule="auto"/>
            </w:pPr>
            <w:r>
              <w:rPr>
                <w:rFonts w:ascii="Arial" w:hAnsi="Arial" w:eastAsia="微软雅黑"/>
              </w:rPr>
              <w:t>平台建设模式</w:t>
            </w:r>
          </w:p>
        </w:tc>
        <w:tc>
          <w:tcPr>
            <w:tcW w:w="2900" w:type="dxa"/>
            <w:shd w:val="clear" w:color="auto" w:fill="FFFFFF"/>
            <w:tcMar>
              <w:top w:w="90" w:type="dxa"/>
              <w:left w:w="120" w:type="dxa"/>
              <w:bottom w:w="90" w:type="dxa"/>
              <w:right w:w="120" w:type="dxa"/>
            </w:tcMar>
          </w:tcPr>
          <w:p w14:paraId="3C53D6A9">
            <w:pPr>
              <w:spacing w:after="0" w:line="300" w:lineRule="auto"/>
            </w:pPr>
            <w:r>
              <w:rPr>
                <w:rFonts w:ascii="Arial" w:hAnsi="Arial" w:eastAsia="微软雅黑"/>
              </w:rPr>
              <w:t>园区管委会、大型园区</w:t>
            </w:r>
          </w:p>
        </w:tc>
        <w:tc>
          <w:tcPr>
            <w:tcW w:w="4226" w:type="dxa"/>
            <w:shd w:val="clear" w:color="auto" w:fill="FFFFFF"/>
            <w:tcMar>
              <w:top w:w="90" w:type="dxa"/>
              <w:left w:w="120" w:type="dxa"/>
              <w:bottom w:w="90" w:type="dxa"/>
              <w:right w:w="120" w:type="dxa"/>
            </w:tcMar>
          </w:tcPr>
          <w:p w14:paraId="16B72785">
            <w:pPr>
              <w:spacing w:after="0" w:line="300" w:lineRule="auto"/>
            </w:pPr>
            <w:r>
              <w:rPr>
                <w:rFonts w:ascii="Arial" w:hAnsi="Arial" w:eastAsia="微软雅黑"/>
              </w:rPr>
              <w:t>一次性建设平台，按年提供运维、升级和技术支持。</w:t>
            </w:r>
          </w:p>
        </w:tc>
      </w:tr>
      <w:tr w14:paraId="25879F45">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900" w:type="dxa"/>
            <w:shd w:val="clear" w:color="auto" w:fill="F7FBFD"/>
            <w:tcMar>
              <w:top w:w="90" w:type="dxa"/>
              <w:left w:w="120" w:type="dxa"/>
              <w:bottom w:w="90" w:type="dxa"/>
              <w:right w:w="120" w:type="dxa"/>
            </w:tcMar>
          </w:tcPr>
          <w:p w14:paraId="09BFFE54">
            <w:pPr>
              <w:spacing w:after="0" w:line="300" w:lineRule="auto"/>
            </w:pPr>
            <w:r>
              <w:rPr>
                <w:rFonts w:ascii="Arial" w:hAnsi="Arial" w:eastAsia="微软雅黑"/>
              </w:rPr>
              <w:t>SaaS订阅模式</w:t>
            </w:r>
          </w:p>
        </w:tc>
        <w:tc>
          <w:tcPr>
            <w:tcW w:w="2900" w:type="dxa"/>
            <w:shd w:val="clear" w:color="auto" w:fill="F7FBFD"/>
            <w:tcMar>
              <w:top w:w="90" w:type="dxa"/>
              <w:left w:w="120" w:type="dxa"/>
              <w:bottom w:w="90" w:type="dxa"/>
              <w:right w:w="120" w:type="dxa"/>
            </w:tcMar>
          </w:tcPr>
          <w:p w14:paraId="16CDD6FB">
            <w:pPr>
              <w:spacing w:after="0" w:line="300" w:lineRule="auto"/>
            </w:pPr>
            <w:r>
              <w:rPr>
                <w:rFonts w:ascii="Arial" w:hAnsi="Arial" w:eastAsia="微软雅黑"/>
              </w:rPr>
              <w:t>中小园区、企业租户</w:t>
            </w:r>
          </w:p>
        </w:tc>
        <w:tc>
          <w:tcPr>
            <w:tcW w:w="4226" w:type="dxa"/>
            <w:shd w:val="clear" w:color="auto" w:fill="F7FBFD"/>
            <w:tcMar>
              <w:top w:w="90" w:type="dxa"/>
              <w:left w:w="120" w:type="dxa"/>
              <w:bottom w:w="90" w:type="dxa"/>
              <w:right w:w="120" w:type="dxa"/>
            </w:tcMar>
          </w:tcPr>
          <w:p w14:paraId="0831A800">
            <w:pPr>
              <w:spacing w:after="0" w:line="300" w:lineRule="auto"/>
            </w:pPr>
            <w:r>
              <w:rPr>
                <w:rFonts w:ascii="Arial" w:hAnsi="Arial" w:eastAsia="微软雅黑"/>
              </w:rPr>
              <w:t>按年订阅能耗监测、碳账本、报表和告警服务。</w:t>
            </w:r>
          </w:p>
        </w:tc>
      </w:tr>
      <w:tr w14:paraId="7CF2D5F0">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900" w:type="dxa"/>
            <w:shd w:val="clear" w:color="auto" w:fill="FFFFFF"/>
            <w:tcMar>
              <w:top w:w="90" w:type="dxa"/>
              <w:left w:w="120" w:type="dxa"/>
              <w:bottom w:w="90" w:type="dxa"/>
              <w:right w:w="120" w:type="dxa"/>
            </w:tcMar>
          </w:tcPr>
          <w:p w14:paraId="0E938BD9">
            <w:pPr>
              <w:spacing w:after="0" w:line="300" w:lineRule="auto"/>
            </w:pPr>
            <w:r>
              <w:rPr>
                <w:rFonts w:ascii="Arial" w:hAnsi="Arial" w:eastAsia="微软雅黑"/>
              </w:rPr>
              <w:t>节能诊断服务</w:t>
            </w:r>
          </w:p>
        </w:tc>
        <w:tc>
          <w:tcPr>
            <w:tcW w:w="2900" w:type="dxa"/>
            <w:shd w:val="clear" w:color="auto" w:fill="FFFFFF"/>
            <w:tcMar>
              <w:top w:w="90" w:type="dxa"/>
              <w:left w:w="120" w:type="dxa"/>
              <w:bottom w:w="90" w:type="dxa"/>
              <w:right w:w="120" w:type="dxa"/>
            </w:tcMar>
          </w:tcPr>
          <w:p w14:paraId="29908A7D">
            <w:pPr>
              <w:spacing w:after="0" w:line="300" w:lineRule="auto"/>
            </w:pPr>
            <w:r>
              <w:rPr>
                <w:rFonts w:ascii="Arial" w:hAnsi="Arial" w:eastAsia="微软雅黑"/>
              </w:rPr>
              <w:t>高能耗楼宇、冷站和重点设备</w:t>
            </w:r>
          </w:p>
        </w:tc>
        <w:tc>
          <w:tcPr>
            <w:tcW w:w="4226" w:type="dxa"/>
            <w:shd w:val="clear" w:color="auto" w:fill="FFFFFF"/>
            <w:tcMar>
              <w:top w:w="90" w:type="dxa"/>
              <w:left w:w="120" w:type="dxa"/>
              <w:bottom w:w="90" w:type="dxa"/>
              <w:right w:w="120" w:type="dxa"/>
            </w:tcMar>
          </w:tcPr>
          <w:p w14:paraId="1404429E">
            <w:pPr>
              <w:spacing w:after="0" w:line="300" w:lineRule="auto"/>
            </w:pPr>
            <w:r>
              <w:rPr>
                <w:rFonts w:ascii="Arial" w:hAnsi="Arial" w:eastAsia="微软雅黑"/>
              </w:rPr>
              <w:t>提供能效审计、节能策略、项目库和投资回收测算。</w:t>
            </w:r>
          </w:p>
        </w:tc>
      </w:tr>
      <w:tr w14:paraId="451BE3A7">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900" w:type="dxa"/>
            <w:shd w:val="clear" w:color="auto" w:fill="F7FBFD"/>
            <w:tcMar>
              <w:top w:w="90" w:type="dxa"/>
              <w:left w:w="120" w:type="dxa"/>
              <w:bottom w:w="90" w:type="dxa"/>
              <w:right w:w="120" w:type="dxa"/>
            </w:tcMar>
          </w:tcPr>
          <w:p w14:paraId="0EA4C890">
            <w:pPr>
              <w:spacing w:after="0" w:line="300" w:lineRule="auto"/>
            </w:pPr>
            <w:r>
              <w:rPr>
                <w:rFonts w:ascii="Arial" w:hAnsi="Arial" w:eastAsia="微软雅黑"/>
              </w:rPr>
              <w:t>碳核算服务</w:t>
            </w:r>
          </w:p>
        </w:tc>
        <w:tc>
          <w:tcPr>
            <w:tcW w:w="2900" w:type="dxa"/>
            <w:shd w:val="clear" w:color="auto" w:fill="F7FBFD"/>
            <w:tcMar>
              <w:top w:w="90" w:type="dxa"/>
              <w:left w:w="120" w:type="dxa"/>
              <w:bottom w:w="90" w:type="dxa"/>
              <w:right w:w="120" w:type="dxa"/>
            </w:tcMar>
          </w:tcPr>
          <w:p w14:paraId="131E6BEA">
            <w:pPr>
              <w:spacing w:after="0" w:line="300" w:lineRule="auto"/>
            </w:pPr>
            <w:r>
              <w:rPr>
                <w:rFonts w:ascii="Arial" w:hAnsi="Arial" w:eastAsia="微软雅黑"/>
              </w:rPr>
              <w:t>控排企业、预备行业企业、出口型企业</w:t>
            </w:r>
          </w:p>
        </w:tc>
        <w:tc>
          <w:tcPr>
            <w:tcW w:w="4226" w:type="dxa"/>
            <w:shd w:val="clear" w:color="auto" w:fill="F7FBFD"/>
            <w:tcMar>
              <w:top w:w="90" w:type="dxa"/>
              <w:left w:w="120" w:type="dxa"/>
              <w:bottom w:w="90" w:type="dxa"/>
              <w:right w:w="120" w:type="dxa"/>
            </w:tcMar>
          </w:tcPr>
          <w:p w14:paraId="16D9A1F7">
            <w:pPr>
              <w:spacing w:after="0" w:line="300" w:lineRule="auto"/>
            </w:pPr>
            <w:r>
              <w:rPr>
                <w:rFonts w:ascii="Arial" w:hAnsi="Arial" w:eastAsia="微软雅黑"/>
              </w:rPr>
              <w:t>提供核算边界梳理、活动数据治理、报告辅助和核查配合。</w:t>
            </w:r>
          </w:p>
        </w:tc>
      </w:tr>
      <w:tr w14:paraId="01269984">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900" w:type="dxa"/>
            <w:shd w:val="clear" w:color="auto" w:fill="FFFFFF"/>
            <w:tcMar>
              <w:top w:w="90" w:type="dxa"/>
              <w:left w:w="120" w:type="dxa"/>
              <w:bottom w:w="90" w:type="dxa"/>
              <w:right w:w="120" w:type="dxa"/>
            </w:tcMar>
          </w:tcPr>
          <w:p w14:paraId="3A2012CE">
            <w:pPr>
              <w:spacing w:after="0" w:line="300" w:lineRule="auto"/>
            </w:pPr>
            <w:r>
              <w:rPr>
                <w:rFonts w:ascii="Arial" w:hAnsi="Arial" w:eastAsia="微软雅黑"/>
              </w:rPr>
              <w:t>碳资产顾问服务</w:t>
            </w:r>
          </w:p>
        </w:tc>
        <w:tc>
          <w:tcPr>
            <w:tcW w:w="2900" w:type="dxa"/>
            <w:shd w:val="clear" w:color="auto" w:fill="FFFFFF"/>
            <w:tcMar>
              <w:top w:w="90" w:type="dxa"/>
              <w:left w:w="120" w:type="dxa"/>
              <w:bottom w:w="90" w:type="dxa"/>
              <w:right w:w="120" w:type="dxa"/>
            </w:tcMar>
          </w:tcPr>
          <w:p w14:paraId="72B8792F">
            <w:pPr>
              <w:spacing w:after="0" w:line="300" w:lineRule="auto"/>
            </w:pPr>
            <w:r>
              <w:rPr>
                <w:rFonts w:ascii="Arial" w:hAnsi="Arial" w:eastAsia="微软雅黑"/>
              </w:rPr>
              <w:t>具备减排项目的园区或企业</w:t>
            </w:r>
          </w:p>
        </w:tc>
        <w:tc>
          <w:tcPr>
            <w:tcW w:w="4226" w:type="dxa"/>
            <w:shd w:val="clear" w:color="auto" w:fill="FFFFFF"/>
            <w:tcMar>
              <w:top w:w="90" w:type="dxa"/>
              <w:left w:w="120" w:type="dxa"/>
              <w:bottom w:w="90" w:type="dxa"/>
              <w:right w:w="120" w:type="dxa"/>
            </w:tcMar>
          </w:tcPr>
          <w:p w14:paraId="62330260">
            <w:pPr>
              <w:spacing w:after="0" w:line="300" w:lineRule="auto"/>
            </w:pPr>
            <w:r>
              <w:rPr>
                <w:rFonts w:ascii="Arial" w:hAnsi="Arial" w:eastAsia="微软雅黑"/>
              </w:rPr>
              <w:t>提供CCER筛选、MRV准备、收益测算和交易路径咨询。</w:t>
            </w:r>
          </w:p>
        </w:tc>
      </w:tr>
    </w:tbl>
    <w:p w14:paraId="3A3F8E15">
      <w:pPr>
        <w:spacing w:after="120" w:line="300" w:lineRule="auto"/>
      </w:pPr>
    </w:p>
    <w:p w14:paraId="73661284">
      <w:pPr>
        <w:pStyle w:val="3"/>
        <w:spacing w:after="140" w:line="300" w:lineRule="auto"/>
        <w:rPr>
          <w:rFonts w:hint="eastAsia" w:eastAsia="微软雅黑"/>
          <w:b/>
          <w:color w:val="auto"/>
          <w:sz w:val="24"/>
          <w:szCs w:val="24"/>
          <w:lang w:val="en-US" w:eastAsia="zh-CN"/>
        </w:rPr>
      </w:pPr>
      <w:bookmarkStart w:id="193" w:name="_Toc31297"/>
      <w:r>
        <w:rPr>
          <w:rFonts w:hint="eastAsia" w:eastAsia="微软雅黑"/>
          <w:b/>
          <w:color w:val="auto"/>
          <w:sz w:val="24"/>
          <w:szCs w:val="24"/>
          <w:lang w:val="en-US" w:eastAsia="zh-CN"/>
        </w:rPr>
        <w:t>6.7 投资估算与效益分析</w:t>
      </w:r>
      <w:bookmarkEnd w:id="193"/>
    </w:p>
    <w:tbl>
      <w:tblPr>
        <w:tblStyle w:val="25"/>
        <w:tblW w:w="9026" w:type="dxa"/>
        <w:tblInd w:w="0" w:type="dxa"/>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Layout w:type="autofit"/>
        <w:tblCellMar>
          <w:top w:w="0" w:type="dxa"/>
          <w:left w:w="108" w:type="dxa"/>
          <w:bottom w:w="0" w:type="dxa"/>
          <w:right w:w="108" w:type="dxa"/>
        </w:tblCellMar>
      </w:tblPr>
      <w:tblGrid>
        <w:gridCol w:w="1800"/>
        <w:gridCol w:w="4900"/>
        <w:gridCol w:w="2326"/>
      </w:tblGrid>
      <w:tr w14:paraId="59B9B3C1">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800" w:type="dxa"/>
            <w:shd w:val="clear" w:color="auto" w:fill="DCEEF7"/>
            <w:tcMar>
              <w:top w:w="90" w:type="dxa"/>
              <w:left w:w="120" w:type="dxa"/>
              <w:bottom w:w="90" w:type="dxa"/>
              <w:right w:w="120" w:type="dxa"/>
            </w:tcMar>
          </w:tcPr>
          <w:p w14:paraId="154E117E">
            <w:pPr>
              <w:spacing w:after="0" w:line="300" w:lineRule="auto"/>
            </w:pPr>
            <w:r>
              <w:rPr>
                <w:rFonts w:ascii="Arial" w:hAnsi="Arial" w:eastAsia="微软雅黑"/>
                <w:b/>
              </w:rPr>
              <w:t>投资项</w:t>
            </w:r>
          </w:p>
        </w:tc>
        <w:tc>
          <w:tcPr>
            <w:tcW w:w="4900" w:type="dxa"/>
            <w:shd w:val="clear" w:color="auto" w:fill="DCEEF7"/>
            <w:tcMar>
              <w:top w:w="90" w:type="dxa"/>
              <w:left w:w="120" w:type="dxa"/>
              <w:bottom w:w="90" w:type="dxa"/>
              <w:right w:w="120" w:type="dxa"/>
            </w:tcMar>
          </w:tcPr>
          <w:p w14:paraId="2B06B12F">
            <w:pPr>
              <w:spacing w:after="0" w:line="300" w:lineRule="auto"/>
            </w:pPr>
            <w:r>
              <w:rPr>
                <w:rFonts w:ascii="Arial" w:hAnsi="Arial" w:eastAsia="微软雅黑"/>
                <w:b/>
              </w:rPr>
              <w:t>明细</w:t>
            </w:r>
          </w:p>
        </w:tc>
        <w:tc>
          <w:tcPr>
            <w:tcW w:w="2326" w:type="dxa"/>
            <w:shd w:val="clear" w:color="auto" w:fill="DCEEF7"/>
            <w:tcMar>
              <w:top w:w="90" w:type="dxa"/>
              <w:left w:w="120" w:type="dxa"/>
              <w:bottom w:w="90" w:type="dxa"/>
              <w:right w:w="120" w:type="dxa"/>
            </w:tcMar>
          </w:tcPr>
          <w:p w14:paraId="3AA31129">
            <w:pPr>
              <w:spacing w:after="0" w:line="300" w:lineRule="auto"/>
            </w:pPr>
            <w:r>
              <w:rPr>
                <w:rFonts w:ascii="Arial" w:hAnsi="Arial" w:eastAsia="微软雅黑"/>
                <w:b/>
              </w:rPr>
              <w:t>估算金额（万元）</w:t>
            </w:r>
          </w:p>
        </w:tc>
      </w:tr>
      <w:tr w14:paraId="057AF018">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800" w:type="dxa"/>
            <w:shd w:val="clear" w:color="auto" w:fill="FFFFFF"/>
            <w:tcMar>
              <w:top w:w="90" w:type="dxa"/>
              <w:left w:w="120" w:type="dxa"/>
              <w:bottom w:w="90" w:type="dxa"/>
              <w:right w:w="120" w:type="dxa"/>
            </w:tcMar>
          </w:tcPr>
          <w:p w14:paraId="03B6EF16">
            <w:pPr>
              <w:spacing w:after="0" w:line="300" w:lineRule="auto"/>
            </w:pPr>
            <w:r>
              <w:rPr>
                <w:rFonts w:ascii="Arial" w:hAnsi="Arial" w:eastAsia="微软雅黑"/>
              </w:rPr>
              <w:t>硬件设备</w:t>
            </w:r>
          </w:p>
        </w:tc>
        <w:tc>
          <w:tcPr>
            <w:tcW w:w="4900" w:type="dxa"/>
            <w:shd w:val="clear" w:color="auto" w:fill="FFFFFF"/>
            <w:tcMar>
              <w:top w:w="90" w:type="dxa"/>
              <w:left w:w="120" w:type="dxa"/>
              <w:bottom w:w="90" w:type="dxa"/>
              <w:right w:w="120" w:type="dxa"/>
            </w:tcMar>
          </w:tcPr>
          <w:p w14:paraId="789D5734">
            <w:pPr>
              <w:spacing w:after="0" w:line="300" w:lineRule="auto"/>
            </w:pPr>
            <w:r>
              <w:rPr>
                <w:rFonts w:ascii="Arial" w:hAnsi="Arial" w:eastAsia="微软雅黑"/>
              </w:rPr>
              <w:t>智能计量仪表、采集网关、边缘计算节点、必要的通信与安装辅材。</w:t>
            </w:r>
          </w:p>
        </w:tc>
        <w:tc>
          <w:tcPr>
            <w:tcW w:w="2326" w:type="dxa"/>
            <w:shd w:val="clear" w:color="auto" w:fill="FFFFFF"/>
            <w:tcMar>
              <w:top w:w="90" w:type="dxa"/>
              <w:left w:w="120" w:type="dxa"/>
              <w:bottom w:w="90" w:type="dxa"/>
              <w:right w:w="120" w:type="dxa"/>
            </w:tcMar>
          </w:tcPr>
          <w:p w14:paraId="6E65756F">
            <w:pPr>
              <w:spacing w:after="0" w:line="300" w:lineRule="auto"/>
            </w:pPr>
            <w:r>
              <w:rPr>
                <w:rFonts w:ascii="Arial" w:hAnsi="Arial" w:eastAsia="微软雅黑"/>
              </w:rPr>
              <w:t>80-150</w:t>
            </w:r>
          </w:p>
        </w:tc>
      </w:tr>
      <w:tr w14:paraId="50FEC604">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800" w:type="dxa"/>
            <w:shd w:val="clear" w:color="auto" w:fill="F7FBFD"/>
            <w:tcMar>
              <w:top w:w="90" w:type="dxa"/>
              <w:left w:w="120" w:type="dxa"/>
              <w:bottom w:w="90" w:type="dxa"/>
              <w:right w:w="120" w:type="dxa"/>
            </w:tcMar>
          </w:tcPr>
          <w:p w14:paraId="0D54379C">
            <w:pPr>
              <w:spacing w:after="0" w:line="300" w:lineRule="auto"/>
            </w:pPr>
            <w:r>
              <w:rPr>
                <w:rFonts w:ascii="Arial" w:hAnsi="Arial" w:eastAsia="微软雅黑"/>
              </w:rPr>
              <w:t>软件平台</w:t>
            </w:r>
          </w:p>
        </w:tc>
        <w:tc>
          <w:tcPr>
            <w:tcW w:w="4900" w:type="dxa"/>
            <w:shd w:val="clear" w:color="auto" w:fill="F7FBFD"/>
            <w:tcMar>
              <w:top w:w="90" w:type="dxa"/>
              <w:left w:w="120" w:type="dxa"/>
              <w:bottom w:w="90" w:type="dxa"/>
              <w:right w:w="120" w:type="dxa"/>
            </w:tcMar>
          </w:tcPr>
          <w:p w14:paraId="1F19E23D">
            <w:pPr>
              <w:spacing w:after="0" w:line="300" w:lineRule="auto"/>
            </w:pPr>
            <w:r>
              <w:rPr>
                <w:rFonts w:ascii="Arial" w:hAnsi="Arial" w:eastAsia="微软雅黑"/>
              </w:rPr>
              <w:t>能耗监测、能碳核算、碳交易管理、报表中心、驾驶舱和移动端。</w:t>
            </w:r>
          </w:p>
        </w:tc>
        <w:tc>
          <w:tcPr>
            <w:tcW w:w="2326" w:type="dxa"/>
            <w:shd w:val="clear" w:color="auto" w:fill="F7FBFD"/>
            <w:tcMar>
              <w:top w:w="90" w:type="dxa"/>
              <w:left w:w="120" w:type="dxa"/>
              <w:bottom w:w="90" w:type="dxa"/>
              <w:right w:w="120" w:type="dxa"/>
            </w:tcMar>
          </w:tcPr>
          <w:p w14:paraId="05E6BCB8">
            <w:pPr>
              <w:spacing w:after="0" w:line="300" w:lineRule="auto"/>
            </w:pPr>
            <w:r>
              <w:rPr>
                <w:rFonts w:ascii="Arial" w:hAnsi="Arial" w:eastAsia="微软雅黑"/>
              </w:rPr>
              <w:t>60-120</w:t>
            </w:r>
          </w:p>
        </w:tc>
      </w:tr>
      <w:tr w14:paraId="2EE950F0">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800" w:type="dxa"/>
            <w:shd w:val="clear" w:color="auto" w:fill="FFFFFF"/>
            <w:tcMar>
              <w:top w:w="90" w:type="dxa"/>
              <w:left w:w="120" w:type="dxa"/>
              <w:bottom w:w="90" w:type="dxa"/>
              <w:right w:w="120" w:type="dxa"/>
            </w:tcMar>
          </w:tcPr>
          <w:p w14:paraId="0F302081">
            <w:pPr>
              <w:spacing w:after="0" w:line="300" w:lineRule="auto"/>
            </w:pPr>
            <w:r>
              <w:rPr>
                <w:rFonts w:ascii="Arial" w:hAnsi="Arial" w:eastAsia="微软雅黑"/>
              </w:rPr>
              <w:t>系统集成</w:t>
            </w:r>
          </w:p>
        </w:tc>
        <w:tc>
          <w:tcPr>
            <w:tcW w:w="4900" w:type="dxa"/>
            <w:shd w:val="clear" w:color="auto" w:fill="FFFFFF"/>
            <w:tcMar>
              <w:top w:w="90" w:type="dxa"/>
              <w:left w:w="120" w:type="dxa"/>
              <w:bottom w:w="90" w:type="dxa"/>
              <w:right w:w="120" w:type="dxa"/>
            </w:tcMar>
          </w:tcPr>
          <w:p w14:paraId="347362A4">
            <w:pPr>
              <w:spacing w:after="0" w:line="300" w:lineRule="auto"/>
            </w:pPr>
            <w:r>
              <w:rPr>
                <w:rFonts w:ascii="Arial" w:hAnsi="Arial" w:eastAsia="微软雅黑"/>
              </w:rPr>
              <w:t>协议接入、数据治理、接口开发、历史数据迁移和联调测试。</w:t>
            </w:r>
          </w:p>
        </w:tc>
        <w:tc>
          <w:tcPr>
            <w:tcW w:w="2326" w:type="dxa"/>
            <w:shd w:val="clear" w:color="auto" w:fill="FFFFFF"/>
            <w:tcMar>
              <w:top w:w="90" w:type="dxa"/>
              <w:left w:w="120" w:type="dxa"/>
              <w:bottom w:w="90" w:type="dxa"/>
              <w:right w:w="120" w:type="dxa"/>
            </w:tcMar>
          </w:tcPr>
          <w:p w14:paraId="37B0BEAD">
            <w:pPr>
              <w:spacing w:after="0" w:line="300" w:lineRule="auto"/>
            </w:pPr>
            <w:r>
              <w:rPr>
                <w:rFonts w:ascii="Arial" w:hAnsi="Arial" w:eastAsia="微软雅黑"/>
              </w:rPr>
              <w:t>30-80</w:t>
            </w:r>
          </w:p>
        </w:tc>
      </w:tr>
      <w:tr w14:paraId="205672FB">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800" w:type="dxa"/>
            <w:shd w:val="clear" w:color="auto" w:fill="F7FBFD"/>
            <w:tcMar>
              <w:top w:w="90" w:type="dxa"/>
              <w:left w:w="120" w:type="dxa"/>
              <w:bottom w:w="90" w:type="dxa"/>
              <w:right w:w="120" w:type="dxa"/>
            </w:tcMar>
          </w:tcPr>
          <w:p w14:paraId="4175DA7A">
            <w:pPr>
              <w:spacing w:after="0" w:line="300" w:lineRule="auto"/>
            </w:pPr>
            <w:r>
              <w:rPr>
                <w:rFonts w:ascii="Arial" w:hAnsi="Arial" w:eastAsia="微软雅黑"/>
              </w:rPr>
              <w:t>运维服务</w:t>
            </w:r>
          </w:p>
        </w:tc>
        <w:tc>
          <w:tcPr>
            <w:tcW w:w="4900" w:type="dxa"/>
            <w:shd w:val="clear" w:color="auto" w:fill="F7FBFD"/>
            <w:tcMar>
              <w:top w:w="90" w:type="dxa"/>
              <w:left w:w="120" w:type="dxa"/>
              <w:bottom w:w="90" w:type="dxa"/>
              <w:right w:w="120" w:type="dxa"/>
            </w:tcMar>
          </w:tcPr>
          <w:p w14:paraId="73194B0E">
            <w:pPr>
              <w:spacing w:after="0" w:line="300" w:lineRule="auto"/>
            </w:pPr>
            <w:r>
              <w:rPr>
                <w:rFonts w:ascii="Arial" w:hAnsi="Arial" w:eastAsia="微软雅黑"/>
              </w:rPr>
              <w:t>年度运维、平台升级、数据质量巡检、报表支持和用户培训。</w:t>
            </w:r>
          </w:p>
        </w:tc>
        <w:tc>
          <w:tcPr>
            <w:tcW w:w="2326" w:type="dxa"/>
            <w:shd w:val="clear" w:color="auto" w:fill="F7FBFD"/>
            <w:tcMar>
              <w:top w:w="90" w:type="dxa"/>
              <w:left w:w="120" w:type="dxa"/>
              <w:bottom w:w="90" w:type="dxa"/>
              <w:right w:w="120" w:type="dxa"/>
            </w:tcMar>
          </w:tcPr>
          <w:p w14:paraId="036090CE">
            <w:pPr>
              <w:spacing w:after="0" w:line="300" w:lineRule="auto"/>
            </w:pPr>
            <w:r>
              <w:rPr>
                <w:rFonts w:ascii="Arial" w:hAnsi="Arial" w:eastAsia="微软雅黑"/>
              </w:rPr>
              <w:t>20-50/年</w:t>
            </w:r>
          </w:p>
        </w:tc>
      </w:tr>
      <w:tr w14:paraId="23724325">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c>
          <w:tcPr>
            <w:tcW w:w="1800" w:type="dxa"/>
            <w:shd w:val="clear" w:color="auto" w:fill="FFFFFF"/>
            <w:tcMar>
              <w:top w:w="90" w:type="dxa"/>
              <w:left w:w="120" w:type="dxa"/>
              <w:bottom w:w="90" w:type="dxa"/>
              <w:right w:w="120" w:type="dxa"/>
            </w:tcMar>
          </w:tcPr>
          <w:p w14:paraId="7FBABE69">
            <w:pPr>
              <w:spacing w:after="0" w:line="300" w:lineRule="auto"/>
            </w:pPr>
            <w:r>
              <w:rPr>
                <w:rFonts w:ascii="Arial" w:hAnsi="Arial" w:eastAsia="微软雅黑"/>
              </w:rPr>
              <w:t>碳服务</w:t>
            </w:r>
          </w:p>
        </w:tc>
        <w:tc>
          <w:tcPr>
            <w:tcW w:w="4900" w:type="dxa"/>
            <w:shd w:val="clear" w:color="auto" w:fill="FFFFFF"/>
            <w:tcMar>
              <w:top w:w="90" w:type="dxa"/>
              <w:left w:w="120" w:type="dxa"/>
              <w:bottom w:w="90" w:type="dxa"/>
              <w:right w:w="120" w:type="dxa"/>
            </w:tcMar>
          </w:tcPr>
          <w:p w14:paraId="0A40499F">
            <w:pPr>
              <w:spacing w:after="0" w:line="300" w:lineRule="auto"/>
            </w:pPr>
            <w:r>
              <w:rPr>
                <w:rFonts w:ascii="Arial" w:hAnsi="Arial" w:eastAsia="微软雅黑"/>
              </w:rPr>
              <w:t>碳盘查、产品碳足迹、CCER项目筛选、交易准备和核查配合。</w:t>
            </w:r>
          </w:p>
        </w:tc>
        <w:tc>
          <w:tcPr>
            <w:tcW w:w="2326" w:type="dxa"/>
            <w:shd w:val="clear" w:color="auto" w:fill="FFFFFF"/>
            <w:tcMar>
              <w:top w:w="90" w:type="dxa"/>
              <w:left w:w="120" w:type="dxa"/>
              <w:bottom w:w="90" w:type="dxa"/>
              <w:right w:w="120" w:type="dxa"/>
            </w:tcMar>
          </w:tcPr>
          <w:p w14:paraId="77FE8861">
            <w:pPr>
              <w:spacing w:after="0" w:line="300" w:lineRule="auto"/>
            </w:pPr>
            <w:r>
              <w:rPr>
                <w:rFonts w:ascii="Arial" w:hAnsi="Arial" w:eastAsia="微软雅黑"/>
              </w:rPr>
              <w:t>按项目另行测算</w:t>
            </w:r>
          </w:p>
        </w:tc>
      </w:tr>
    </w:tbl>
    <w:p w14:paraId="1AB48CA6">
      <w:pPr>
        <w:spacing w:after="120" w:line="300" w:lineRule="auto"/>
      </w:pPr>
    </w:p>
    <w:p w14:paraId="4D1F90C5">
      <w:pPr>
        <w:spacing w:after="120" w:line="300" w:lineRule="auto"/>
      </w:pPr>
      <w:r>
        <w:rPr>
          <w:rFonts w:ascii="Arial" w:hAnsi="Arial" w:eastAsia="微软雅黑"/>
        </w:rPr>
        <w:t>系统效益主要体现在三方面：一是通过能耗透明化和运行优化降低能源费用；二是通过碳核算和报告能力降低合规风险；三是通过节能改造、绿电绿证、CCER和碳市场履约辅助形成潜在碳资产价值。具体节能率、减排量和交易收益应以现场审计、项目实施、核查结果和法定交易规则为准。</w:t>
      </w:r>
    </w:p>
    <w:p w14:paraId="7CAAB970">
      <w:pPr>
        <w:pStyle w:val="3"/>
        <w:spacing w:after="140" w:line="300" w:lineRule="auto"/>
        <w:rPr>
          <w:rFonts w:hint="eastAsia" w:eastAsia="微软雅黑"/>
          <w:b/>
          <w:color w:val="auto"/>
          <w:sz w:val="24"/>
          <w:szCs w:val="24"/>
          <w:lang w:val="en-US" w:eastAsia="zh-CN"/>
        </w:rPr>
      </w:pPr>
      <w:bookmarkStart w:id="194" w:name="_Toc22890"/>
      <w:r>
        <w:rPr>
          <w:rFonts w:hint="eastAsia" w:eastAsia="微软雅黑"/>
          <w:b/>
          <w:color w:val="auto"/>
          <w:sz w:val="24"/>
          <w:szCs w:val="24"/>
          <w:lang w:val="en-US" w:eastAsia="zh-CN"/>
        </w:rPr>
        <w:t>6.8 能碳管理结语与展望</w:t>
      </w:r>
      <w:bookmarkEnd w:id="194"/>
    </w:p>
    <w:p w14:paraId="38959663">
      <w:pPr>
        <w:spacing w:after="120" w:line="300" w:lineRule="auto"/>
      </w:pPr>
      <w:r>
        <w:rPr>
          <w:rFonts w:ascii="Arial" w:hAnsi="Arial" w:eastAsia="微软雅黑"/>
        </w:rPr>
        <w:t>随着碳市场扩围、产品碳足迹管理和绿色低碳园区建设持续推进，园区能碳管理系统将从管理工具升级为园区数字化运营基础设施。通微方案通过“感知采集、数据治理、能碳核算、交易准备、运营服务”的一体化能力，帮助园区形成可持续、可核查、可运营的低碳竞争力。</w:t>
      </w:r>
    </w:p>
    <w:p w14:paraId="69486452">
      <w:pPr>
        <w:pStyle w:val="41"/>
        <w:autoSpaceDE w:val="0"/>
        <w:autoSpaceDN w:val="0"/>
        <w:adjustRightInd w:val="0"/>
        <w:spacing w:line="360" w:lineRule="auto"/>
        <w:ind w:left="420" w:firstLine="0" w:firstLineChars="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br w:type="page"/>
      </w:r>
    </w:p>
    <w:p w14:paraId="37153948">
      <w:pPr>
        <w:pStyle w:val="2"/>
        <w:bidi w:val="0"/>
        <w:rPr>
          <w:rFonts w:hint="eastAsia"/>
        </w:rPr>
      </w:pPr>
      <w:bookmarkStart w:id="195" w:name="_Toc23289"/>
      <w:bookmarkStart w:id="196" w:name="_Toc19750"/>
      <w:r>
        <w:rPr>
          <w:rFonts w:hint="eastAsia"/>
        </w:rPr>
        <w:t>工现场部分</w:t>
      </w:r>
      <w:bookmarkEnd w:id="195"/>
      <w:r>
        <w:rPr>
          <w:rFonts w:hint="eastAsia"/>
        </w:rPr>
        <w:t>介绍</w:t>
      </w:r>
      <w:bookmarkEnd w:id="196"/>
    </w:p>
    <w:p w14:paraId="5D393755">
      <w:pPr>
        <w:pStyle w:val="3"/>
        <w:bidi w:val="0"/>
        <w:rPr>
          <w:rFonts w:hint="eastAsia"/>
        </w:rPr>
      </w:pPr>
      <w:bookmarkStart w:id="197" w:name="_Toc30615"/>
      <w:bookmarkStart w:id="198" w:name="_Toc23801"/>
      <w:r>
        <w:rPr>
          <w:rFonts w:hint="eastAsia"/>
          <w:lang w:eastAsia="zh-CN"/>
        </w:rPr>
        <w:t>7.</w:t>
      </w:r>
      <w:r>
        <w:rPr>
          <w:rFonts w:hint="eastAsia"/>
        </w:rPr>
        <w:t>1 工程概况</w:t>
      </w:r>
      <w:bookmarkEnd w:id="197"/>
      <w:bookmarkEnd w:id="198"/>
    </w:p>
    <w:p w14:paraId="096A82C4">
      <w:pPr>
        <w:spacing w:line="360" w:lineRule="auto"/>
        <w:ind w:firstLine="420" w:firstLineChars="200"/>
        <w:rPr>
          <w:rFonts w:hint="eastAsia" w:ascii="微软雅黑 Light" w:hAnsi="微软雅黑 Light" w:eastAsia="微软雅黑 Light" w:cs="微软雅黑 Light"/>
          <w:sz w:val="21"/>
          <w:szCs w:val="21"/>
        </w:rPr>
      </w:pPr>
      <w:bookmarkStart w:id="199" w:name="_Toc10505"/>
      <w:r>
        <w:rPr>
          <w:rFonts w:hint="eastAsia" w:ascii="微软雅黑 Light" w:hAnsi="微软雅黑 Light" w:cs="微软雅黑 Light"/>
          <w:sz w:val="21"/>
          <w:szCs w:val="21"/>
          <w:lang w:eastAsia="zh-CN"/>
        </w:rPr>
        <w:t>建筑能耗管理</w:t>
      </w:r>
      <w:r>
        <w:rPr>
          <w:rFonts w:hint="eastAsia" w:ascii="微软雅黑 Light" w:hAnsi="微软雅黑 Light" w:eastAsia="微软雅黑 Light" w:cs="微软雅黑 Light"/>
          <w:sz w:val="21"/>
          <w:szCs w:val="21"/>
        </w:rPr>
        <w:t>系统是建筑节能监管体系的基础，建成后的建筑节能监管体系将以该平台为基础，实现对建筑内建筑物的用能数据监测、分析与统计，根据建筑内各建筑用能特点，为用能分类型、分层次、分能耗定额制定提供数据支撑；总结同类建筑的普遍用能规律，为智能建筑群的建设、管理、改造提供管理经验；通过数据整理和分析，为建筑节能的研究、规划设计提供数据资料。</w:t>
      </w:r>
    </w:p>
    <w:p w14:paraId="6DB722D7">
      <w:pPr>
        <w:pStyle w:val="3"/>
        <w:bidi w:val="0"/>
        <w:rPr>
          <w:rFonts w:hint="eastAsia"/>
        </w:rPr>
      </w:pPr>
      <w:bookmarkStart w:id="200" w:name="_Toc20567"/>
      <w:r>
        <w:rPr>
          <w:rFonts w:hint="eastAsia"/>
          <w:lang w:eastAsia="zh-CN"/>
        </w:rPr>
        <w:t>7.</w:t>
      </w:r>
      <w:r>
        <w:rPr>
          <w:rFonts w:hint="eastAsia"/>
        </w:rPr>
        <w:t>2 工程范围</w:t>
      </w:r>
      <w:bookmarkEnd w:id="200"/>
    </w:p>
    <w:bookmarkEnd w:id="199"/>
    <w:p w14:paraId="2B9AD17E">
      <w:pPr>
        <w:pStyle w:val="4"/>
        <w:bidi w:val="0"/>
        <w:rPr>
          <w:rFonts w:hint="eastAsia"/>
        </w:rPr>
      </w:pPr>
      <w:bookmarkStart w:id="201" w:name="_Toc8681"/>
      <w:r>
        <w:rPr>
          <w:rFonts w:hint="eastAsia"/>
          <w:lang w:eastAsia="zh-CN"/>
        </w:rPr>
        <w:t>7.</w:t>
      </w:r>
      <w:r>
        <w:rPr>
          <w:rFonts w:hint="eastAsia"/>
        </w:rPr>
        <w:t>2.1监测范围</w:t>
      </w:r>
      <w:bookmarkEnd w:id="201"/>
    </w:p>
    <w:p w14:paraId="480A5A0B">
      <w:pPr>
        <w:spacing w:line="360" w:lineRule="auto"/>
        <w:ind w:firstLine="420" w:firstLineChars="200"/>
        <w:rPr>
          <w:rFonts w:hint="eastAsia" w:ascii="微软雅黑 Light" w:hAnsi="微软雅黑 Light" w:eastAsia="微软雅黑 Light" w:cs="微软雅黑 Light"/>
          <w:sz w:val="21"/>
          <w:szCs w:val="21"/>
          <w:lang w:eastAsia="zh-CN"/>
        </w:rPr>
      </w:pPr>
      <w:r>
        <w:rPr>
          <w:rFonts w:hint="eastAsia" w:ascii="微软雅黑 Light" w:hAnsi="微软雅黑 Light" w:cs="微软雅黑 Light"/>
          <w:sz w:val="21"/>
          <w:szCs w:val="21"/>
          <w:lang w:eastAsia="zh-CN"/>
        </w:rPr>
        <w:t>建筑能耗管理</w:t>
      </w:r>
      <w:r>
        <w:rPr>
          <w:rFonts w:hint="eastAsia" w:ascii="微软雅黑 Light" w:hAnsi="微软雅黑 Light" w:eastAsia="微软雅黑 Light" w:cs="微软雅黑 Light"/>
          <w:sz w:val="21"/>
          <w:szCs w:val="21"/>
        </w:rPr>
        <w:t>系统工程设计的监测范围包括所有低压变电所各类建筑实施用电监测，基本实现监控建筑的按楼层分项计量。对建筑实现用水监测</w:t>
      </w:r>
      <w:r>
        <w:rPr>
          <w:rFonts w:hint="eastAsia" w:ascii="微软雅黑 Light" w:hAnsi="微软雅黑 Light" w:cs="微软雅黑 Light"/>
          <w:sz w:val="21"/>
          <w:szCs w:val="21"/>
          <w:lang w:val="en-US" w:eastAsia="zh-CN"/>
        </w:rPr>
        <w:t>.</w:t>
      </w:r>
    </w:p>
    <w:p w14:paraId="7014CCE1">
      <w:pPr>
        <w:pStyle w:val="3"/>
        <w:bidi w:val="0"/>
        <w:rPr>
          <w:rFonts w:hint="eastAsia"/>
        </w:rPr>
      </w:pPr>
      <w:bookmarkStart w:id="202" w:name="_Toc296285075"/>
      <w:bookmarkStart w:id="203" w:name="_Toc11684"/>
      <w:bookmarkStart w:id="204" w:name="_Toc312692252"/>
      <w:bookmarkStart w:id="205" w:name="_Toc27861"/>
      <w:r>
        <w:rPr>
          <w:rFonts w:hint="eastAsia"/>
          <w:lang w:eastAsia="zh-CN"/>
        </w:rPr>
        <w:t>7.</w:t>
      </w:r>
      <w:r>
        <w:rPr>
          <w:rFonts w:hint="eastAsia"/>
        </w:rPr>
        <w:t>3工程特点</w:t>
      </w:r>
      <w:bookmarkEnd w:id="202"/>
      <w:bookmarkEnd w:id="203"/>
      <w:bookmarkEnd w:id="204"/>
    </w:p>
    <w:p w14:paraId="15D993A8">
      <w:pPr>
        <w:numPr>
          <w:ilvl w:val="0"/>
          <w:numId w:val="50"/>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定位高，工期短，质量要求高；</w:t>
      </w:r>
    </w:p>
    <w:p w14:paraId="6486222C">
      <w:pPr>
        <w:numPr>
          <w:ilvl w:val="0"/>
          <w:numId w:val="50"/>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工程点多、面广、配合量大；</w:t>
      </w:r>
    </w:p>
    <w:p w14:paraId="7F3B77F0">
      <w:pPr>
        <w:numPr>
          <w:ilvl w:val="0"/>
          <w:numId w:val="50"/>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工作难度大，工程需错时施工，尽量减少对建筑的正常工作与生活的影响；</w:t>
      </w:r>
    </w:p>
    <w:p w14:paraId="7396BC15">
      <w:pPr>
        <w:pStyle w:val="3"/>
        <w:bidi w:val="0"/>
        <w:rPr>
          <w:rFonts w:hint="eastAsia"/>
        </w:rPr>
      </w:pPr>
      <w:bookmarkStart w:id="206" w:name="_Toc16078"/>
      <w:r>
        <w:rPr>
          <w:rFonts w:hint="eastAsia"/>
          <w:lang w:eastAsia="zh-CN"/>
        </w:rPr>
        <w:t>7.</w:t>
      </w:r>
      <w:r>
        <w:rPr>
          <w:rFonts w:hint="eastAsia"/>
        </w:rPr>
        <w:t>4系统编制依据</w:t>
      </w:r>
      <w:bookmarkEnd w:id="206"/>
    </w:p>
    <w:p w14:paraId="2B5EF512">
      <w:pPr>
        <w:numPr>
          <w:ilvl w:val="0"/>
          <w:numId w:val="51"/>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《多功能电能表通信规约》DL/T 645-1997,DL/T 645-2007；</w:t>
      </w:r>
    </w:p>
    <w:p w14:paraId="74F63187">
      <w:pPr>
        <w:numPr>
          <w:ilvl w:val="0"/>
          <w:numId w:val="51"/>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《电能计量装置技术管理规程》DL/T 448-2000；</w:t>
      </w:r>
    </w:p>
    <w:p w14:paraId="583F1DEA">
      <w:pPr>
        <w:numPr>
          <w:ilvl w:val="0"/>
          <w:numId w:val="51"/>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《电测量及电能计量装置设计技术规程》DL/T 5137-2001；</w:t>
      </w:r>
    </w:p>
    <w:p w14:paraId="66A84E5C">
      <w:pPr>
        <w:numPr>
          <w:ilvl w:val="0"/>
          <w:numId w:val="51"/>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《电能计量装置安装接线规则》DL/T 825-2002；</w:t>
      </w:r>
    </w:p>
    <w:p w14:paraId="06F10766">
      <w:pPr>
        <w:numPr>
          <w:ilvl w:val="0"/>
          <w:numId w:val="51"/>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《户用计量仪表数据传输技术条件》CJ/T 188-2004；</w:t>
      </w:r>
    </w:p>
    <w:p w14:paraId="6F08DCD9">
      <w:pPr>
        <w:numPr>
          <w:ilvl w:val="0"/>
          <w:numId w:val="51"/>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《自动化仪表工程施工及验收规范》GB50093-2002；</w:t>
      </w:r>
    </w:p>
    <w:p w14:paraId="15F87F42">
      <w:pPr>
        <w:numPr>
          <w:ilvl w:val="0"/>
          <w:numId w:val="51"/>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《低压配电设计规范》GB50054-95；</w:t>
      </w:r>
    </w:p>
    <w:p w14:paraId="61A0C670">
      <w:pPr>
        <w:numPr>
          <w:ilvl w:val="0"/>
          <w:numId w:val="51"/>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《民用建筑电气设计规范》；</w:t>
      </w:r>
    </w:p>
    <w:p w14:paraId="33D769B5">
      <w:pPr>
        <w:numPr>
          <w:ilvl w:val="0"/>
          <w:numId w:val="51"/>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《电气装置安装工程电缆线路施工及验收规范》GB 50168-2006；</w:t>
      </w:r>
    </w:p>
    <w:p w14:paraId="62E0AFC2">
      <w:pPr>
        <w:numPr>
          <w:ilvl w:val="0"/>
          <w:numId w:val="51"/>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《建筑电气施工质量验收规范》 （GB 50303-2002）；</w:t>
      </w:r>
    </w:p>
    <w:p w14:paraId="6C66ABA3">
      <w:pPr>
        <w:numPr>
          <w:ilvl w:val="0"/>
          <w:numId w:val="51"/>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《国家机关办公建筑和大型公共建筑能耗监测系统楼宇分项计量设计安装技术导则》；</w:t>
      </w:r>
    </w:p>
    <w:p w14:paraId="5D397C2F">
      <w:pPr>
        <w:numPr>
          <w:ilvl w:val="0"/>
          <w:numId w:val="51"/>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《电气装置安装工程盘、柜及二次回路结线施工及验收规范》(GB50171-92)；</w:t>
      </w:r>
    </w:p>
    <w:p w14:paraId="046D3990">
      <w:pPr>
        <w:numPr>
          <w:ilvl w:val="0"/>
          <w:numId w:val="51"/>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本工程招标文件及相关图纸；</w:t>
      </w:r>
    </w:p>
    <w:p w14:paraId="6CAF99E6">
      <w:pPr>
        <w:rPr>
          <w:rFonts w:hint="eastAsia" w:ascii="微软雅黑 Light" w:hAnsi="微软雅黑 Light" w:eastAsia="微软雅黑 Light" w:cs="微软雅黑 Light"/>
          <w:sz w:val="21"/>
          <w:szCs w:val="21"/>
        </w:rPr>
      </w:pPr>
    </w:p>
    <w:p w14:paraId="60B531AC">
      <w:pPr>
        <w:rPr>
          <w:rFonts w:hint="eastAsia" w:ascii="微软雅黑 Light" w:hAnsi="微软雅黑 Light" w:eastAsia="微软雅黑 Light" w:cs="微软雅黑 Light"/>
          <w:sz w:val="21"/>
          <w:szCs w:val="21"/>
        </w:rPr>
      </w:pPr>
    </w:p>
    <w:p w14:paraId="0020C5B1">
      <w:pP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br w:type="page"/>
      </w:r>
    </w:p>
    <w:bookmarkEnd w:id="205"/>
    <w:p w14:paraId="04AA6F47">
      <w:pPr>
        <w:pStyle w:val="2"/>
        <w:bidi w:val="0"/>
        <w:rPr>
          <w:rFonts w:hint="eastAsia"/>
        </w:rPr>
      </w:pPr>
      <w:bookmarkStart w:id="207" w:name="_Toc242848313"/>
      <w:bookmarkStart w:id="208" w:name="_Toc296285077"/>
      <w:bookmarkStart w:id="209" w:name="_Toc312692254"/>
      <w:bookmarkStart w:id="210" w:name="_Toc248948900"/>
      <w:bookmarkStart w:id="211" w:name="_Toc3375"/>
      <w:bookmarkStart w:id="212" w:name="_Toc27775"/>
      <w:bookmarkStart w:id="213" w:name="_Toc17684"/>
      <w:r>
        <w:rPr>
          <w:rFonts w:hint="eastAsia"/>
        </w:rPr>
        <w:t>施工</w:t>
      </w:r>
      <w:bookmarkEnd w:id="207"/>
      <w:r>
        <w:rPr>
          <w:rFonts w:hint="eastAsia"/>
        </w:rPr>
        <w:t>实施方案</w:t>
      </w:r>
      <w:bookmarkEnd w:id="208"/>
      <w:bookmarkEnd w:id="209"/>
      <w:bookmarkEnd w:id="210"/>
      <w:bookmarkEnd w:id="211"/>
      <w:bookmarkEnd w:id="212"/>
      <w:bookmarkEnd w:id="213"/>
    </w:p>
    <w:p w14:paraId="6C46B2C3">
      <w:pPr>
        <w:pStyle w:val="3"/>
        <w:bidi w:val="0"/>
        <w:rPr>
          <w:rFonts w:hint="eastAsia"/>
        </w:rPr>
      </w:pPr>
      <w:bookmarkStart w:id="214" w:name="_Toc312692255"/>
      <w:bookmarkStart w:id="215" w:name="_Toc2995"/>
      <w:bookmarkStart w:id="216" w:name="_Toc296285078"/>
      <w:bookmarkStart w:id="217" w:name="_Toc32670"/>
      <w:r>
        <w:rPr>
          <w:rFonts w:hint="eastAsia"/>
          <w:lang w:eastAsia="zh-CN"/>
        </w:rPr>
        <w:t>8.</w:t>
      </w:r>
      <w:r>
        <w:rPr>
          <w:rFonts w:hint="eastAsia"/>
        </w:rPr>
        <w:t>1 总体施工原则</w:t>
      </w:r>
      <w:bookmarkEnd w:id="214"/>
      <w:bookmarkEnd w:id="215"/>
      <w:bookmarkEnd w:id="216"/>
      <w:bookmarkEnd w:id="217"/>
    </w:p>
    <w:p w14:paraId="3EEA8734">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平台软件开发与能耗采集设备及相关硬件安装并行实施。</w:t>
      </w:r>
    </w:p>
    <w:p w14:paraId="54565942">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能耗采集设备施工程序为：接受任务阶段→开工前准备阶段（向甲方提出停水、停电申请）→主要设备安装→线路电缆敷设→各类箱体安装→调试运行→交工验收阶段。</w:t>
      </w:r>
    </w:p>
    <w:p w14:paraId="4527AC7E">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安装各分部分项施工程序为：先拆除，后安装；先室内，后室外；先高空，后地面；对于设备安装应先安装重、大、关键设备，后安装一般设备；先设备后配线管路；先大管，后小管；先里面后外面。</w:t>
      </w:r>
    </w:p>
    <w:p w14:paraId="6940DC6F">
      <w:pPr>
        <w:pStyle w:val="3"/>
        <w:bidi w:val="0"/>
        <w:rPr>
          <w:rFonts w:hint="eastAsia"/>
        </w:rPr>
      </w:pPr>
      <w:bookmarkStart w:id="218" w:name="_Toc312692256"/>
      <w:bookmarkStart w:id="219" w:name="_Toc4397"/>
      <w:bookmarkStart w:id="220" w:name="_Toc9736"/>
      <w:bookmarkStart w:id="221" w:name="_Toc296285079"/>
      <w:r>
        <w:rPr>
          <w:rFonts w:hint="eastAsia"/>
          <w:lang w:eastAsia="zh-CN"/>
        </w:rPr>
        <w:t>8.</w:t>
      </w:r>
      <w:r>
        <w:rPr>
          <w:rFonts w:hint="eastAsia"/>
        </w:rPr>
        <w:t>2 工程施工方法</w:t>
      </w:r>
      <w:bookmarkEnd w:id="218"/>
      <w:bookmarkEnd w:id="219"/>
      <w:bookmarkEnd w:id="220"/>
      <w:bookmarkEnd w:id="221"/>
    </w:p>
    <w:p w14:paraId="362D11EE">
      <w:pPr>
        <w:numPr>
          <w:ilvl w:val="0"/>
          <w:numId w:val="52"/>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工程正式施工前，施工人员要熟悉图纸，进行技术和物资准备，重点解决图纸中存在的问题，组织物资进场和技术交底；</w:t>
      </w:r>
    </w:p>
    <w:p w14:paraId="070A4498">
      <w:pPr>
        <w:numPr>
          <w:ilvl w:val="0"/>
          <w:numId w:val="52"/>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专业技术人员应参加有设计单位、建设单位、监理单位、施工单位联合组织的图纸会审，从施工操作的可行性、方便性、安全性，提出意见或建议，并接受设计单位技术交底，办理图纸会审记录；</w:t>
      </w:r>
    </w:p>
    <w:p w14:paraId="3142F99F">
      <w:pPr>
        <w:numPr>
          <w:ilvl w:val="0"/>
          <w:numId w:val="52"/>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应根据设计图纸及现行预算定额、取费标准，编制安装工程预算。计算工程量和工程造价，确定施工机械和人工的消耗量；</w:t>
      </w:r>
    </w:p>
    <w:p w14:paraId="0A981E64">
      <w:pPr>
        <w:numPr>
          <w:ilvl w:val="0"/>
          <w:numId w:val="52"/>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施工单位应根据施工方案，组织施工人员，合理搭配工种。工人上岗前，应进行有关的培训，方可上岗操作；</w:t>
      </w:r>
    </w:p>
    <w:p w14:paraId="2074B927">
      <w:pPr>
        <w:numPr>
          <w:ilvl w:val="0"/>
          <w:numId w:val="52"/>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开工前应准备施工现场临时设施，落实施工方法、施工用水、用电、材料堆场或仓库、施工工场；</w:t>
      </w:r>
    </w:p>
    <w:p w14:paraId="5940A3FB">
      <w:pPr>
        <w:numPr>
          <w:ilvl w:val="0"/>
          <w:numId w:val="52"/>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专业技术人员根据设计图纸、施工方案、施工验收规范，向上岗人员进行安装工程技术交底，并办理有关手续；</w:t>
      </w:r>
    </w:p>
    <w:p w14:paraId="2007629E">
      <w:pPr>
        <w:numPr>
          <w:ilvl w:val="0"/>
          <w:numId w:val="52"/>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针对要施工的部位，提出停水、停电申请；停水停电的时间要尽量错开建筑的上班时间和生活区的耗水时间；</w:t>
      </w:r>
    </w:p>
    <w:p w14:paraId="2240F085">
      <w:pPr>
        <w:numPr>
          <w:ilvl w:val="0"/>
          <w:numId w:val="52"/>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对现场的材料、设备应按材料清单进行清点、核查。不同材料按不同技术要求认真检查其型号、规格、标准、材质、技术参数、数量是否符合设计文件要求。如不符合要求，应及时提出，并与有关方面协商接洽，做好记录。清点完毕，应根据不同材质、不同要求、安装先后顺序存放，确保其用途、构造、重量、体积、包装性质与堆场相适应，避免锈蚀、损坏、和重复搬运；</w:t>
      </w:r>
    </w:p>
    <w:p w14:paraId="40543F26">
      <w:pPr>
        <w:numPr>
          <w:ilvl w:val="0"/>
          <w:numId w:val="52"/>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各道工序必须严格按照图纸要求和设计规范进行施工，确保工程质量；</w:t>
      </w:r>
    </w:p>
    <w:p w14:paraId="2BCBCED1">
      <w:pPr>
        <w:numPr>
          <w:ilvl w:val="0"/>
          <w:numId w:val="52"/>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每道工序完成后必须立即填写工程报验资料，报请监理单位进行验收，非经报验，监理未批准，不准进行下道工序；</w:t>
      </w:r>
    </w:p>
    <w:p w14:paraId="6258197E">
      <w:pPr>
        <w:pStyle w:val="3"/>
        <w:bidi w:val="0"/>
        <w:rPr>
          <w:rFonts w:hint="eastAsia"/>
        </w:rPr>
      </w:pPr>
      <w:bookmarkStart w:id="222" w:name="_Toc312692257"/>
      <w:bookmarkStart w:id="223" w:name="_Toc24174"/>
      <w:bookmarkStart w:id="224" w:name="_Toc296285080"/>
      <w:bookmarkStart w:id="225" w:name="_Toc13909"/>
      <w:r>
        <w:rPr>
          <w:rFonts w:hint="eastAsia"/>
          <w:lang w:eastAsia="zh-CN"/>
        </w:rPr>
        <w:t>8.</w:t>
      </w:r>
      <w:r>
        <w:rPr>
          <w:rFonts w:hint="eastAsia"/>
        </w:rPr>
        <w:t>3 设备安装及施工要求</w:t>
      </w:r>
      <w:bookmarkEnd w:id="222"/>
      <w:bookmarkEnd w:id="223"/>
      <w:bookmarkEnd w:id="224"/>
      <w:bookmarkEnd w:id="225"/>
    </w:p>
    <w:p w14:paraId="6AB07395">
      <w:pPr>
        <w:pStyle w:val="4"/>
        <w:bidi w:val="0"/>
        <w:rPr>
          <w:rFonts w:hint="eastAsia"/>
        </w:rPr>
      </w:pPr>
      <w:bookmarkStart w:id="226" w:name="_Toc2249"/>
      <w:bookmarkStart w:id="227" w:name="_Toc296285081"/>
      <w:bookmarkStart w:id="228" w:name="_Toc17600"/>
      <w:r>
        <w:rPr>
          <w:rFonts w:hint="eastAsia"/>
          <w:lang w:eastAsia="zh-CN"/>
        </w:rPr>
        <w:t>8.</w:t>
      </w:r>
      <w:r>
        <w:rPr>
          <w:rFonts w:hint="eastAsia"/>
        </w:rPr>
        <w:t>3.1能耗采集设备的安装与施工要求</w:t>
      </w:r>
      <w:bookmarkEnd w:id="226"/>
      <w:bookmarkEnd w:id="227"/>
      <w:bookmarkEnd w:id="228"/>
      <w:bookmarkStart w:id="229" w:name="_Toc202146676"/>
    </w:p>
    <w:p w14:paraId="72FE0F00">
      <w:pPr>
        <w:pStyle w:val="5"/>
        <w:spacing w:before="0" w:after="0" w:line="360" w:lineRule="auto"/>
        <w:ind w:left="0" w:firstLine="0"/>
        <w:rPr>
          <w:rFonts w:hint="eastAsia" w:ascii="微软雅黑 Light" w:hAnsi="微软雅黑 Light" w:eastAsia="微软雅黑 Light" w:cs="微软雅黑 Light"/>
          <w:sz w:val="21"/>
          <w:szCs w:val="21"/>
        </w:rPr>
      </w:pPr>
      <w:r>
        <w:rPr>
          <w:rFonts w:hint="eastAsia" w:ascii="微软雅黑 Light" w:hAnsi="微软雅黑 Light" w:cs="微软雅黑 Light"/>
          <w:sz w:val="21"/>
          <w:szCs w:val="21"/>
          <w:lang w:eastAsia="zh-CN"/>
        </w:rPr>
        <w:t>8.</w:t>
      </w:r>
      <w:r>
        <w:rPr>
          <w:rFonts w:hint="eastAsia" w:ascii="微软雅黑 Light" w:hAnsi="微软雅黑 Light" w:eastAsia="微软雅黑 Light" w:cs="微软雅黑 Light"/>
          <w:sz w:val="21"/>
          <w:szCs w:val="21"/>
        </w:rPr>
        <w:t>3.1.1现场设备安装</w:t>
      </w:r>
      <w:bookmarkEnd w:id="229"/>
      <w:r>
        <w:rPr>
          <w:rFonts w:hint="eastAsia" w:ascii="微软雅黑 Light" w:hAnsi="微软雅黑 Light" w:eastAsia="微软雅黑 Light" w:cs="微软雅黑 Light"/>
          <w:sz w:val="21"/>
          <w:szCs w:val="21"/>
        </w:rPr>
        <w:t>要点</w:t>
      </w:r>
    </w:p>
    <w:p w14:paraId="5C6F848B">
      <w:pPr>
        <w:numPr>
          <w:ilvl w:val="0"/>
          <w:numId w:val="53"/>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设备应参照设计图纸安装，光线充足，维修和维护方便；</w:t>
      </w:r>
    </w:p>
    <w:p w14:paraId="558CE223">
      <w:pPr>
        <w:numPr>
          <w:ilvl w:val="0"/>
          <w:numId w:val="53"/>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设备不能安装在振动、潮湿、易受机械损伤、有强磁场干扰、高温或温度变化剧烈以及有腐蚀性气体的地方；</w:t>
      </w:r>
    </w:p>
    <w:p w14:paraId="4E0D5083">
      <w:pPr>
        <w:numPr>
          <w:ilvl w:val="0"/>
          <w:numId w:val="53"/>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设备安装前外观完整性检查，包括资料、电源线、光盘、说明书、合格证、出厂合格检验单、附件等。安装后不允许敲击振动，安装设备必须牢固、平正、美观；</w:t>
      </w:r>
    </w:p>
    <w:p w14:paraId="05E12AF2">
      <w:pPr>
        <w:numPr>
          <w:ilvl w:val="0"/>
          <w:numId w:val="53"/>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设备的接线应采取密封措施，以免油、水及灰尘进入设备；</w:t>
      </w:r>
    </w:p>
    <w:p w14:paraId="2964D4E8">
      <w:pPr>
        <w:numPr>
          <w:ilvl w:val="0"/>
          <w:numId w:val="53"/>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设备安装后标志牌的文字及端子编号应书写正确、清楚</w:t>
      </w:r>
      <w:bookmarkStart w:id="230" w:name="_Toc202146677"/>
      <w:r>
        <w:rPr>
          <w:rFonts w:hint="eastAsia" w:ascii="微软雅黑 Light" w:hAnsi="微软雅黑 Light" w:eastAsia="微软雅黑 Light" w:cs="微软雅黑 Light"/>
          <w:sz w:val="21"/>
          <w:szCs w:val="21"/>
        </w:rPr>
        <w:t>；</w:t>
      </w:r>
    </w:p>
    <w:p w14:paraId="79C671E5">
      <w:pPr>
        <w:pStyle w:val="5"/>
        <w:spacing w:before="240" w:beforeLines="100" w:after="240" w:afterLines="100" w:line="360" w:lineRule="auto"/>
        <w:ind w:left="0" w:firstLine="0"/>
        <w:rPr>
          <w:rFonts w:hint="eastAsia" w:ascii="微软雅黑 Light" w:hAnsi="微软雅黑 Light" w:eastAsia="微软雅黑 Light" w:cs="微软雅黑 Light"/>
          <w:sz w:val="21"/>
          <w:szCs w:val="21"/>
        </w:rPr>
      </w:pPr>
      <w:r>
        <w:rPr>
          <w:rFonts w:hint="eastAsia" w:ascii="微软雅黑 Light" w:hAnsi="微软雅黑 Light" w:cs="微软雅黑 Light"/>
          <w:sz w:val="21"/>
          <w:szCs w:val="21"/>
          <w:lang w:eastAsia="zh-CN"/>
        </w:rPr>
        <w:t>8.</w:t>
      </w:r>
      <w:r>
        <w:rPr>
          <w:rFonts w:hint="eastAsia" w:ascii="微软雅黑 Light" w:hAnsi="微软雅黑 Light" w:eastAsia="微软雅黑 Light" w:cs="微软雅黑 Light"/>
          <w:sz w:val="21"/>
          <w:szCs w:val="21"/>
        </w:rPr>
        <w:t>3.1.2设备的布线</w:t>
      </w:r>
      <w:bookmarkEnd w:id="230"/>
      <w:r>
        <w:rPr>
          <w:rFonts w:hint="eastAsia" w:ascii="微软雅黑 Light" w:hAnsi="微软雅黑 Light" w:eastAsia="微软雅黑 Light" w:cs="微软雅黑 Light"/>
          <w:sz w:val="21"/>
          <w:szCs w:val="21"/>
        </w:rPr>
        <w:t>要点</w:t>
      </w:r>
    </w:p>
    <w:p w14:paraId="6A580139">
      <w:pPr>
        <w:numPr>
          <w:ilvl w:val="0"/>
          <w:numId w:val="54"/>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信号线：</w:t>
      </w:r>
    </w:p>
    <w:p w14:paraId="13414680">
      <w:pPr>
        <w:spacing w:line="360" w:lineRule="auto"/>
        <w:ind w:left="480"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网络线缆采用带屏蔽五类双绞线。信号线、网线严禁与电源线走在一起，长距离的信号线要用穿线管进行隔离。</w:t>
      </w:r>
    </w:p>
    <w:p w14:paraId="38F0458F">
      <w:pPr>
        <w:numPr>
          <w:ilvl w:val="0"/>
          <w:numId w:val="54"/>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通讯线布线：</w:t>
      </w:r>
    </w:p>
    <w:p w14:paraId="4D06B930">
      <w:pPr>
        <w:spacing w:line="360" w:lineRule="auto"/>
        <w:ind w:left="480"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RS485布线与通讯距离：根据RS485 工业总线标准，RS485 工业总线为特性阻抗120Ω的半双工通讯总线，其最大负载能力为32 个有效负载（包括主控设备与被控设备，具体根据现场仪表的抗干扰能力确定），实行带屏蔽的通信双绞线的屏蔽层在设备端单端接地。</w:t>
      </w:r>
    </w:p>
    <w:p w14:paraId="4B46B382">
      <w:pPr>
        <w:spacing w:line="360" w:lineRule="auto"/>
        <w:ind w:left="480"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当使用PRSV2×1.0 mm2的屏蔽2芯双绞线作为通讯电缆时，根据波特率的不同，最大传输距离理论值如下：</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933"/>
        <w:gridCol w:w="900"/>
        <w:gridCol w:w="900"/>
        <w:gridCol w:w="861"/>
      </w:tblGrid>
      <w:tr w14:paraId="030F7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noWrap w:val="0"/>
            <w:vAlign w:val="bottom"/>
          </w:tcPr>
          <w:p w14:paraId="7AE95F86">
            <w:p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波特率Bps</w:t>
            </w:r>
          </w:p>
        </w:tc>
        <w:tc>
          <w:tcPr>
            <w:tcW w:w="933" w:type="dxa"/>
            <w:noWrap w:val="0"/>
            <w:vAlign w:val="bottom"/>
          </w:tcPr>
          <w:p w14:paraId="6811204B">
            <w:p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1200</w:t>
            </w:r>
          </w:p>
        </w:tc>
        <w:tc>
          <w:tcPr>
            <w:tcW w:w="900" w:type="dxa"/>
            <w:noWrap w:val="0"/>
            <w:vAlign w:val="bottom"/>
          </w:tcPr>
          <w:p w14:paraId="307A3A87">
            <w:p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2400</w:t>
            </w:r>
          </w:p>
        </w:tc>
        <w:tc>
          <w:tcPr>
            <w:tcW w:w="900" w:type="dxa"/>
            <w:noWrap w:val="0"/>
            <w:vAlign w:val="bottom"/>
          </w:tcPr>
          <w:p w14:paraId="79856F68">
            <w:p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4800</w:t>
            </w:r>
          </w:p>
        </w:tc>
        <w:tc>
          <w:tcPr>
            <w:tcW w:w="861" w:type="dxa"/>
            <w:noWrap w:val="0"/>
            <w:vAlign w:val="bottom"/>
          </w:tcPr>
          <w:p w14:paraId="26FCE6EB">
            <w:p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9600</w:t>
            </w:r>
          </w:p>
        </w:tc>
      </w:tr>
      <w:tr w14:paraId="59DAD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noWrap w:val="0"/>
            <w:vAlign w:val="bottom"/>
          </w:tcPr>
          <w:p w14:paraId="49028713">
            <w:p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最大传输距离（米）</w:t>
            </w:r>
          </w:p>
        </w:tc>
        <w:tc>
          <w:tcPr>
            <w:tcW w:w="933" w:type="dxa"/>
            <w:noWrap w:val="0"/>
            <w:vAlign w:val="bottom"/>
          </w:tcPr>
          <w:p w14:paraId="3009D9B2">
            <w:p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2000</w:t>
            </w:r>
          </w:p>
        </w:tc>
        <w:tc>
          <w:tcPr>
            <w:tcW w:w="900" w:type="dxa"/>
            <w:noWrap w:val="0"/>
            <w:vAlign w:val="bottom"/>
          </w:tcPr>
          <w:p w14:paraId="74E426D1">
            <w:p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1800</w:t>
            </w:r>
          </w:p>
        </w:tc>
        <w:tc>
          <w:tcPr>
            <w:tcW w:w="900" w:type="dxa"/>
            <w:noWrap w:val="0"/>
            <w:vAlign w:val="bottom"/>
          </w:tcPr>
          <w:p w14:paraId="2CD750D8">
            <w:p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1200</w:t>
            </w:r>
          </w:p>
        </w:tc>
        <w:tc>
          <w:tcPr>
            <w:tcW w:w="861" w:type="dxa"/>
            <w:noWrap w:val="0"/>
            <w:vAlign w:val="bottom"/>
          </w:tcPr>
          <w:p w14:paraId="15BDDA83">
            <w:p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800</w:t>
            </w:r>
          </w:p>
        </w:tc>
      </w:tr>
    </w:tbl>
    <w:p w14:paraId="032B4A18">
      <w:pPr>
        <w:numPr>
          <w:ilvl w:val="0"/>
          <w:numId w:val="54"/>
        </w:numPr>
        <w:spacing w:line="360" w:lineRule="auto"/>
        <w:ind w:left="845"/>
        <w:rPr>
          <w:rFonts w:hint="eastAsia" w:ascii="微软雅黑 Light" w:hAnsi="微软雅黑 Light" w:eastAsia="微软雅黑 Light" w:cs="微软雅黑 Light"/>
          <w:sz w:val="21"/>
          <w:szCs w:val="21"/>
        </w:rPr>
      </w:pPr>
      <w:bookmarkStart w:id="231" w:name="_Toc202146678"/>
      <w:r>
        <w:rPr>
          <w:rFonts w:hint="eastAsia" w:ascii="微软雅黑 Light" w:hAnsi="微软雅黑 Light" w:eastAsia="微软雅黑 Light" w:cs="微软雅黑 Light"/>
          <w:sz w:val="21"/>
          <w:szCs w:val="21"/>
        </w:rPr>
        <w:t>无论是任何线都要留有适当的余量，避免太短影响接线、太长浪费成本。</w:t>
      </w:r>
    </w:p>
    <w:p w14:paraId="215E28BF">
      <w:pPr>
        <w:pStyle w:val="5"/>
        <w:spacing w:before="240" w:beforeLines="100" w:after="240" w:afterLines="100" w:line="360" w:lineRule="auto"/>
        <w:ind w:left="0" w:firstLine="0"/>
        <w:rPr>
          <w:rFonts w:hint="eastAsia" w:ascii="微软雅黑 Light" w:hAnsi="微软雅黑 Light" w:eastAsia="微软雅黑 Light" w:cs="微软雅黑 Light"/>
          <w:sz w:val="21"/>
          <w:szCs w:val="21"/>
        </w:rPr>
      </w:pPr>
      <w:r>
        <w:rPr>
          <w:rFonts w:hint="eastAsia" w:ascii="微软雅黑 Light" w:hAnsi="微软雅黑 Light" w:cs="微软雅黑 Light"/>
          <w:sz w:val="21"/>
          <w:szCs w:val="21"/>
          <w:lang w:eastAsia="zh-CN"/>
        </w:rPr>
        <w:t>8.</w:t>
      </w:r>
      <w:r>
        <w:rPr>
          <w:rFonts w:hint="eastAsia" w:ascii="微软雅黑 Light" w:hAnsi="微软雅黑 Light" w:eastAsia="微软雅黑 Light" w:cs="微软雅黑 Light"/>
          <w:sz w:val="21"/>
          <w:szCs w:val="21"/>
        </w:rPr>
        <w:t>3.1.3设备的接线</w:t>
      </w:r>
      <w:bookmarkEnd w:id="231"/>
      <w:r>
        <w:rPr>
          <w:rFonts w:hint="eastAsia" w:ascii="微软雅黑 Light" w:hAnsi="微软雅黑 Light" w:eastAsia="微软雅黑 Light" w:cs="微软雅黑 Light"/>
          <w:sz w:val="21"/>
          <w:szCs w:val="21"/>
        </w:rPr>
        <w:t>要点</w:t>
      </w:r>
    </w:p>
    <w:p w14:paraId="319F0206">
      <w:pPr>
        <w:numPr>
          <w:ilvl w:val="0"/>
          <w:numId w:val="55"/>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接线前须校线，并标记清楚；</w:t>
      </w:r>
    </w:p>
    <w:p w14:paraId="411CCA6A">
      <w:pPr>
        <w:numPr>
          <w:ilvl w:val="0"/>
          <w:numId w:val="55"/>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剥线时严禁损伤线芯，以免影响通信；</w:t>
      </w:r>
    </w:p>
    <w:p w14:paraId="74A3B895">
      <w:pPr>
        <w:numPr>
          <w:ilvl w:val="0"/>
          <w:numId w:val="55"/>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电缆（线）与端子的连接处必须牢固，并留有适当的余量；</w:t>
      </w:r>
    </w:p>
    <w:p w14:paraId="3B920516">
      <w:pPr>
        <w:numPr>
          <w:ilvl w:val="0"/>
          <w:numId w:val="55"/>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做网线水晶头时应注意线序，不能混乱。做好后用测试工具测试确保网线畅通，必须检查水晶头弹性良好性，以防接触不良导致网络不通；</w:t>
      </w:r>
    </w:p>
    <w:p w14:paraId="49C441E2">
      <w:pPr>
        <w:numPr>
          <w:ilvl w:val="0"/>
          <w:numId w:val="55"/>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接头处应用防水胶带裹紧，以免雨水进入；</w:t>
      </w:r>
    </w:p>
    <w:p w14:paraId="07A96BA7">
      <w:pPr>
        <w:numPr>
          <w:ilvl w:val="0"/>
          <w:numId w:val="55"/>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接线时，请务必先切断全部电源，以防电震、产品损伤等；</w:t>
      </w:r>
    </w:p>
    <w:p w14:paraId="475EE50A">
      <w:pPr>
        <w:pStyle w:val="5"/>
        <w:spacing w:before="240" w:beforeLines="100" w:after="240" w:afterLines="100" w:line="360" w:lineRule="auto"/>
        <w:ind w:left="0" w:firstLine="0"/>
        <w:rPr>
          <w:rFonts w:hint="eastAsia" w:ascii="微软雅黑 Light" w:hAnsi="微软雅黑 Light" w:eastAsia="微软雅黑 Light" w:cs="微软雅黑 Light"/>
          <w:sz w:val="21"/>
          <w:szCs w:val="21"/>
        </w:rPr>
      </w:pPr>
      <w:bookmarkStart w:id="232" w:name="_Toc202146679"/>
      <w:r>
        <w:rPr>
          <w:rFonts w:hint="eastAsia" w:ascii="微软雅黑 Light" w:hAnsi="微软雅黑 Light" w:cs="微软雅黑 Light"/>
          <w:sz w:val="21"/>
          <w:szCs w:val="21"/>
          <w:lang w:eastAsia="zh-CN"/>
        </w:rPr>
        <w:t>8.</w:t>
      </w:r>
      <w:r>
        <w:rPr>
          <w:rFonts w:hint="eastAsia" w:ascii="微软雅黑 Light" w:hAnsi="微软雅黑 Light" w:eastAsia="微软雅黑 Light" w:cs="微软雅黑 Light"/>
          <w:sz w:val="21"/>
          <w:szCs w:val="21"/>
        </w:rPr>
        <w:t>3.1.4现场设备安装注意事项</w:t>
      </w:r>
      <w:bookmarkEnd w:id="232"/>
    </w:p>
    <w:p w14:paraId="621C0460">
      <w:pPr>
        <w:numPr>
          <w:ilvl w:val="0"/>
          <w:numId w:val="56"/>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设备应有良好的密封设施，以免雨水进入设备；</w:t>
      </w:r>
    </w:p>
    <w:p w14:paraId="72FD1ABF">
      <w:pPr>
        <w:numPr>
          <w:ilvl w:val="0"/>
          <w:numId w:val="56"/>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设备要接地良好；</w:t>
      </w:r>
    </w:p>
    <w:p w14:paraId="2669B176">
      <w:pPr>
        <w:numPr>
          <w:ilvl w:val="0"/>
          <w:numId w:val="56"/>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信号线、网线不能与电源线，混走在一个穿线槽内；</w:t>
      </w:r>
    </w:p>
    <w:p w14:paraId="1DA1800E">
      <w:pPr>
        <w:numPr>
          <w:ilvl w:val="0"/>
          <w:numId w:val="56"/>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请勿在有尘埃、油烟、导电性粉尘、腐蚀性气体、可燃性气体的场所，高温、结露、风雨侵袭的场所，强电磁干扰、震动、冲击场所使用；</w:t>
      </w:r>
    </w:p>
    <w:p w14:paraId="281FF438">
      <w:pPr>
        <w:numPr>
          <w:ilvl w:val="0"/>
          <w:numId w:val="56"/>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进行螺丝孔加工和配线操作时，请不要让切屑、电线屑等落入机箱内；</w:t>
      </w:r>
    </w:p>
    <w:p w14:paraId="42DF6D43">
      <w:pPr>
        <w:numPr>
          <w:ilvl w:val="0"/>
          <w:numId w:val="56"/>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能耗采集设备和其他设备或结构物之间预留50mm以上的空隙，尽量远离高压线、高压设备和动力设备；</w:t>
      </w:r>
    </w:p>
    <w:p w14:paraId="599A43B7">
      <w:pPr>
        <w:pStyle w:val="4"/>
        <w:spacing w:after="240" w:afterLines="100" w:line="360" w:lineRule="auto"/>
        <w:rPr>
          <w:rFonts w:hint="eastAsia" w:ascii="微软雅黑 Light" w:hAnsi="微软雅黑 Light" w:eastAsia="微软雅黑 Light" w:cs="微软雅黑 Light"/>
          <w:sz w:val="21"/>
          <w:szCs w:val="21"/>
        </w:rPr>
      </w:pPr>
      <w:bookmarkStart w:id="233" w:name="_Toc15799"/>
      <w:bookmarkStart w:id="234" w:name="_Toc296285082"/>
      <w:bookmarkStart w:id="235" w:name="_Toc4563"/>
      <w:r>
        <w:rPr>
          <w:rFonts w:hint="eastAsia" w:ascii="微软雅黑 Light" w:hAnsi="微软雅黑 Light" w:eastAsia="微软雅黑 Light" w:cs="微软雅黑 Light"/>
          <w:sz w:val="21"/>
          <w:szCs w:val="21"/>
          <w:lang w:eastAsia="zh-CN"/>
        </w:rPr>
        <w:t>8.</w:t>
      </w:r>
      <w:r>
        <w:rPr>
          <w:rFonts w:hint="eastAsia" w:ascii="微软雅黑 Light" w:hAnsi="微软雅黑 Light" w:eastAsia="微软雅黑 Light" w:cs="微软雅黑 Light"/>
          <w:sz w:val="21"/>
          <w:szCs w:val="21"/>
        </w:rPr>
        <w:t>3.2电表现场安装实施方案与注意事项</w:t>
      </w:r>
      <w:bookmarkEnd w:id="233"/>
      <w:bookmarkEnd w:id="234"/>
      <w:bookmarkEnd w:id="235"/>
      <w:bookmarkStart w:id="236" w:name="_Toc277674961"/>
      <w:bookmarkStart w:id="237" w:name="_Toc277677205"/>
    </w:p>
    <w:p w14:paraId="2978BEC8">
      <w:pPr>
        <w:pStyle w:val="5"/>
        <w:spacing w:before="240" w:beforeLines="100" w:after="240" w:afterLines="100" w:line="360" w:lineRule="auto"/>
        <w:ind w:left="0" w:firstLine="0"/>
        <w:rPr>
          <w:rFonts w:hint="eastAsia" w:ascii="微软雅黑 Light" w:hAnsi="微软雅黑 Light" w:eastAsia="微软雅黑 Light" w:cs="微软雅黑 Light"/>
          <w:sz w:val="21"/>
          <w:szCs w:val="21"/>
        </w:rPr>
      </w:pPr>
      <w:r>
        <w:rPr>
          <w:rFonts w:hint="eastAsia" w:ascii="微软雅黑 Light" w:hAnsi="微软雅黑 Light" w:cs="微软雅黑 Light"/>
          <w:sz w:val="21"/>
          <w:szCs w:val="21"/>
          <w:lang w:eastAsia="zh-CN"/>
        </w:rPr>
        <w:t>8.</w:t>
      </w:r>
      <w:r>
        <w:rPr>
          <w:rFonts w:hint="eastAsia" w:ascii="微软雅黑 Light" w:hAnsi="微软雅黑 Light" w:eastAsia="微软雅黑 Light" w:cs="微软雅黑 Light"/>
          <w:sz w:val="21"/>
          <w:szCs w:val="21"/>
        </w:rPr>
        <w:t>3.2.1运输与储存</w:t>
      </w:r>
    </w:p>
    <w:p w14:paraId="1527B963">
      <w:pPr>
        <w:numPr>
          <w:ilvl w:val="0"/>
          <w:numId w:val="57"/>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电度表运输和拆封不应受到剧烈冲击，应根据GB/T15464-1995（《仪器仪表包装通用技术条件》）的规定运输和储存；</w:t>
      </w:r>
    </w:p>
    <w:p w14:paraId="0241C9B4">
      <w:pPr>
        <w:numPr>
          <w:ilvl w:val="0"/>
          <w:numId w:val="57"/>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保存电度表应在原包装内，保存的地方环境温度为-25℃—+70℃，平均相对湿度不超过75%，空气中无腐蚀性气体；</w:t>
      </w:r>
    </w:p>
    <w:p w14:paraId="2BE5C57A">
      <w:pPr>
        <w:numPr>
          <w:ilvl w:val="0"/>
          <w:numId w:val="57"/>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电度表在仓库里保存，应放在台架上，叠放高度不超过10箱，拆箱后，单包装的电度表叠放高度不超过10只；</w:t>
      </w:r>
    </w:p>
    <w:p w14:paraId="788842A0">
      <w:pPr>
        <w:pStyle w:val="5"/>
        <w:spacing w:before="240" w:beforeLines="100" w:after="240" w:afterLines="100" w:line="360" w:lineRule="auto"/>
        <w:ind w:left="0" w:firstLine="0"/>
        <w:rPr>
          <w:rFonts w:hint="eastAsia" w:ascii="微软雅黑 Light" w:hAnsi="微软雅黑 Light" w:eastAsia="微软雅黑 Light" w:cs="微软雅黑 Light"/>
          <w:sz w:val="21"/>
          <w:szCs w:val="21"/>
        </w:rPr>
      </w:pPr>
      <w:r>
        <w:rPr>
          <w:rFonts w:hint="eastAsia" w:ascii="微软雅黑 Light" w:hAnsi="微软雅黑 Light" w:cs="微软雅黑 Light"/>
          <w:sz w:val="21"/>
          <w:szCs w:val="21"/>
          <w:lang w:eastAsia="zh-CN"/>
        </w:rPr>
        <w:t>8.</w:t>
      </w:r>
      <w:r>
        <w:rPr>
          <w:rFonts w:hint="eastAsia" w:ascii="微软雅黑 Light" w:hAnsi="微软雅黑 Light" w:eastAsia="微软雅黑 Light" w:cs="微软雅黑 Light"/>
          <w:sz w:val="21"/>
          <w:szCs w:val="21"/>
        </w:rPr>
        <w:t>3.2.2安装与使用</w:t>
      </w:r>
      <w:bookmarkEnd w:id="236"/>
      <w:bookmarkEnd w:id="237"/>
    </w:p>
    <w:p w14:paraId="64FEAEDE">
      <w:pPr>
        <w:numPr>
          <w:ilvl w:val="0"/>
          <w:numId w:val="58"/>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电度表在出厂前经检验合格，并加铅封，即可安装使用；</w:t>
      </w:r>
    </w:p>
    <w:p w14:paraId="6A32547A">
      <w:pPr>
        <w:numPr>
          <w:ilvl w:val="0"/>
          <w:numId w:val="58"/>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在搬运和拆装电度表时应小心，轻拿轻放，不能受到强烈的振动或撞击，以防损坏电度表的零部件，特别是电度表的轴承和游丝；</w:t>
      </w:r>
    </w:p>
    <w:p w14:paraId="0420DCF9">
      <w:pPr>
        <w:numPr>
          <w:ilvl w:val="0"/>
          <w:numId w:val="58"/>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电度表安装垂直度允许偏差不大于5度；</w:t>
      </w:r>
    </w:p>
    <w:p w14:paraId="23C25CC4">
      <w:pPr>
        <w:numPr>
          <w:ilvl w:val="0"/>
          <w:numId w:val="58"/>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电度表可安装在室内或室外使用，空气中无腐蚀性气体，注意，海拔高度，温度，湿度，及震动等问题；</w:t>
      </w:r>
    </w:p>
    <w:p w14:paraId="4CA6EFF5">
      <w:pPr>
        <w:numPr>
          <w:ilvl w:val="0"/>
          <w:numId w:val="58"/>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电度表长期使用，最好不要安装在过于狭小的空间里，防止出现安全事故；</w:t>
      </w:r>
    </w:p>
    <w:p w14:paraId="1D13E82E">
      <w:pPr>
        <w:numPr>
          <w:ilvl w:val="0"/>
          <w:numId w:val="58"/>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电度表应按照接线盒上的接线图进行接线，最好用铜接线头接入；</w:t>
      </w:r>
    </w:p>
    <w:p w14:paraId="540F89A3">
      <w:pPr>
        <w:numPr>
          <w:ilvl w:val="0"/>
          <w:numId w:val="58"/>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表的引线必须适当，要能负担测量时的负载而不致过热，并且不致产生很大的电压降而影响电表的读数。如电表带有专用导线时，在使用时应与专用导线连接。连接的部分要干净、牢靠，以免接触不良而影响测量结果；</w:t>
      </w:r>
    </w:p>
    <w:p w14:paraId="6489B947">
      <w:pPr>
        <w:numPr>
          <w:ilvl w:val="0"/>
          <w:numId w:val="58"/>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电表应定期用干软布擦拭，以保持清洁；</w:t>
      </w:r>
    </w:p>
    <w:p w14:paraId="337432CB">
      <w:pPr>
        <w:numPr>
          <w:ilvl w:val="0"/>
          <w:numId w:val="58"/>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接线如图1所示：</w:t>
      </w:r>
    </w:p>
    <w:p w14:paraId="30179AED">
      <w:pPr>
        <w:pStyle w:val="11"/>
        <w:spacing w:line="360" w:lineRule="auto"/>
        <w:ind w:firstLine="480"/>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object>
          <v:shape id="_x0000_i1026" o:spt="75" type="#_x0000_t75" style="height:120.4pt;width:235.55pt;" o:ole="t" filled="f" stroked="f" coordsize="21600,21600">
            <v:path/>
            <v:fill on="f" focussize="0,0"/>
            <v:stroke on="f"/>
            <v:imagedata r:id="rId62" o:title=""/>
            <o:lock v:ext="edit" grouping="f" rotation="f" text="f" aspectratio="t"/>
            <w10:wrap type="none"/>
            <w10:anchorlock/>
          </v:shape>
          <o:OLEObject Type="Embed" ProgID="Visio.Drawing.11" ShapeID="_x0000_i1026" DrawAspect="Content" ObjectID="_1468075726" r:id="rId61">
            <o:LockedField>false</o:LockedField>
          </o:OLEObject>
        </w:object>
      </w:r>
    </w:p>
    <w:p w14:paraId="460CCD39">
      <w:pPr>
        <w:spacing w:line="360" w:lineRule="auto"/>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图7-1计量接线图</w:t>
      </w:r>
    </w:p>
    <w:p w14:paraId="3E6CD280">
      <w:pPr>
        <w:pStyle w:val="11"/>
        <w:spacing w:line="360" w:lineRule="auto"/>
        <w:ind w:firstLine="0" w:firstLineChars="0"/>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object>
          <v:shape id="_x0000_i1027" o:spt="75" type="#_x0000_t75" style="height:58.45pt;width:406.7pt;" o:ole="t" filled="f" stroked="f" coordsize="21600,21600">
            <v:path/>
            <v:fill on="f" focussize="0,0"/>
            <v:stroke on="f"/>
            <v:imagedata r:id="rId64" o:title=""/>
            <o:lock v:ext="edit" grouping="f" rotation="f" text="f" aspectratio="t"/>
            <w10:wrap type="none"/>
            <w10:anchorlock/>
          </v:shape>
          <o:OLEObject Type="Embed" ProgID="Visio.Drawing.11" ShapeID="_x0000_i1027" DrawAspect="Content" ObjectID="_1468075727" r:id="rId63">
            <o:LockedField>false</o:LockedField>
          </o:OLEObject>
        </w:object>
      </w:r>
    </w:p>
    <w:p w14:paraId="7B11CC6A">
      <w:pPr>
        <w:pStyle w:val="11"/>
        <w:spacing w:line="360" w:lineRule="auto"/>
        <w:ind w:firstLine="0" w:firstLineChars="0"/>
        <w:jc w:val="center"/>
        <w:rPr>
          <w:rFonts w:hint="eastAsia" w:ascii="微软雅黑 Light" w:hAnsi="微软雅黑 Light" w:eastAsia="微软雅黑 Light" w:cs="微软雅黑 Light"/>
          <w:b/>
          <w:sz w:val="21"/>
          <w:szCs w:val="21"/>
        </w:rPr>
      </w:pPr>
      <w:r>
        <w:rPr>
          <w:rFonts w:hint="eastAsia" w:ascii="微软雅黑 Light" w:hAnsi="微软雅黑 Light" w:eastAsia="微软雅黑 Light" w:cs="微软雅黑 Light"/>
          <w:sz w:val="21"/>
          <w:szCs w:val="21"/>
        </w:rPr>
        <w:t>图7-2通讯接线图</w:t>
      </w:r>
    </w:p>
    <w:p w14:paraId="40760DDD">
      <w:pPr>
        <w:spacing w:line="360" w:lineRule="auto"/>
        <w:ind w:firstLine="42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当表计的数目较多时，在每接完一块表计后都进行一次A、B端的电压测量，以确保一次接线成功。</w:t>
      </w:r>
      <w:bookmarkStart w:id="238" w:name="_Toc277677206"/>
      <w:bookmarkStart w:id="239" w:name="_Toc277674962"/>
    </w:p>
    <w:bookmarkEnd w:id="238"/>
    <w:bookmarkEnd w:id="239"/>
    <w:p w14:paraId="74ABC074">
      <w:pPr>
        <w:pStyle w:val="5"/>
        <w:spacing w:before="240" w:beforeLines="100" w:after="240" w:afterLines="100" w:line="360" w:lineRule="auto"/>
        <w:ind w:left="0" w:firstLine="0"/>
        <w:rPr>
          <w:rFonts w:hint="eastAsia" w:ascii="微软雅黑 Light" w:hAnsi="微软雅黑 Light" w:eastAsia="微软雅黑 Light" w:cs="微软雅黑 Light"/>
          <w:sz w:val="21"/>
          <w:szCs w:val="21"/>
        </w:rPr>
      </w:pPr>
      <w:r>
        <w:rPr>
          <w:rFonts w:hint="eastAsia" w:ascii="微软雅黑 Light" w:hAnsi="微软雅黑 Light" w:cs="微软雅黑 Light"/>
          <w:sz w:val="21"/>
          <w:szCs w:val="21"/>
          <w:lang w:eastAsia="zh-CN"/>
        </w:rPr>
        <w:t>8.</w:t>
      </w:r>
      <w:r>
        <w:rPr>
          <w:rFonts w:hint="eastAsia" w:ascii="微软雅黑 Light" w:hAnsi="微软雅黑 Light" w:eastAsia="微软雅黑 Light" w:cs="微软雅黑 Light"/>
          <w:sz w:val="21"/>
          <w:szCs w:val="21"/>
        </w:rPr>
        <w:t>2.3.3注意事项</w:t>
      </w:r>
    </w:p>
    <w:p w14:paraId="524DAE80">
      <w:pPr>
        <w:numPr>
          <w:ilvl w:val="0"/>
          <w:numId w:val="59"/>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安装和拆卸电度表时，应先切断电源，以免发生人身事故或损坏测量机构。</w:t>
      </w:r>
    </w:p>
    <w:p w14:paraId="3CBB03D7">
      <w:pPr>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电度表的指针须经常注意作零位调整。平时指针应指在零位上，如略有差距，可调整电度表上的零位校正螺钉，使指针恢复到零点的位置；</w:t>
      </w:r>
    </w:p>
    <w:p w14:paraId="16E31FCA">
      <w:pPr>
        <w:numPr>
          <w:ilvl w:val="0"/>
          <w:numId w:val="59"/>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安装电表时必须严格按照国家有关电工规范及《水电工艺规范》操作施工；</w:t>
      </w:r>
    </w:p>
    <w:p w14:paraId="491A4BF5">
      <w:pPr>
        <w:pStyle w:val="4"/>
        <w:bidi w:val="0"/>
        <w:rPr>
          <w:rFonts w:hint="eastAsia"/>
        </w:rPr>
      </w:pPr>
      <w:bookmarkStart w:id="240" w:name="_Toc296285084"/>
      <w:bookmarkStart w:id="241" w:name="_Toc32669"/>
      <w:bookmarkStart w:id="242" w:name="_Toc25369"/>
      <w:r>
        <w:rPr>
          <w:rFonts w:hint="eastAsia"/>
          <w:lang w:eastAsia="zh-CN"/>
        </w:rPr>
        <w:t>8.</w:t>
      </w:r>
      <w:r>
        <w:rPr>
          <w:rFonts w:hint="eastAsia"/>
        </w:rPr>
        <w:t>3.3配电柜、箱安装</w:t>
      </w:r>
      <w:bookmarkEnd w:id="240"/>
      <w:bookmarkEnd w:id="241"/>
      <w:bookmarkEnd w:id="242"/>
    </w:p>
    <w:p w14:paraId="2424166B">
      <w:pPr>
        <w:numPr>
          <w:ilvl w:val="0"/>
          <w:numId w:val="60"/>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配电箱安装前应对照图纸的系统、原理图检查，核对配电箱内部电气元件、规格、名称是否齐全完好，在同一建筑物内，同类箱盘的高度应一致；</w:t>
      </w:r>
    </w:p>
    <w:p w14:paraId="322FBFC1">
      <w:pPr>
        <w:numPr>
          <w:ilvl w:val="0"/>
          <w:numId w:val="60"/>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暗装配电箱安装时必须预先掌握墙面粉刷层厚度，一般要求配电箱外壳出墙5mm左右，四边要一致，使盘面板紧贴墙面，并用水平尺测量水平与垂直度，合乎要求后方可固定。明装箱在强电井可用金属膨胀螺栓固定；</w:t>
      </w:r>
    </w:p>
    <w:p w14:paraId="71C57377">
      <w:pPr>
        <w:numPr>
          <w:ilvl w:val="0"/>
          <w:numId w:val="60"/>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电线管进配电箱开孔要排列整齐，用开孔钻开孔，箱内排线应整齐绑扎成束，扎带距离相等，保持工艺美观。在活动的部位应该两端固定，盘面引出线及引进导线应留有适当余度，以便于维修；</w:t>
      </w:r>
    </w:p>
    <w:p w14:paraId="25C1FB79">
      <w:pPr>
        <w:numPr>
          <w:ilvl w:val="0"/>
          <w:numId w:val="60"/>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配电箱内接线前应对每个回路绝缘进行测试，并记录数值。进线电源线在开关上端需缠绕2－3圈相色粘接带，Ａ相为黄色，Ｂ相为绿色，Ｃ相为红色，零线为淡兰色，ＰＥ线为黄绿线。出线回路应按图纸的标准套上相应的异型三角塑料套管，标明回路编号；</w:t>
      </w:r>
    </w:p>
    <w:p w14:paraId="4C223A93">
      <w:pPr>
        <w:numPr>
          <w:ilvl w:val="0"/>
          <w:numId w:val="60"/>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配电箱本体要安装好保护接地线，要有专用接地端子排成锥头；</w:t>
      </w:r>
    </w:p>
    <w:p w14:paraId="7EC7077F">
      <w:pPr>
        <w:numPr>
          <w:ilvl w:val="0"/>
          <w:numId w:val="60"/>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导线剥削处不应伤线芯或线芯过长，导线压头应牢固可靠，多股导线不应盘圈压接，应用压线端子（有压线孔者除外）。如必须穿孔用顶丝压接时，多股线应搪锡后再压接，不得减少导线股数。所有接线要拧紧每个固定螺栓，防止线头松动；</w:t>
      </w:r>
    </w:p>
    <w:p w14:paraId="51B686C1">
      <w:pPr>
        <w:numPr>
          <w:ilvl w:val="0"/>
          <w:numId w:val="60"/>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固定面板的机螺丝，应采用镀锌圆帽机螺丝，其间距不得大于250mm，并应均匀地对称于四角；</w:t>
      </w:r>
    </w:p>
    <w:p w14:paraId="2BEF3DD0">
      <w:pPr>
        <w:numPr>
          <w:ilvl w:val="0"/>
          <w:numId w:val="60"/>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配电箱在电井内安装时，应进行防护，采用硬纸板、塑料纸等绑扎牢固，以防混凝土溅入损坏箱面；</w:t>
      </w:r>
    </w:p>
    <w:p w14:paraId="0C54C006">
      <w:pPr>
        <w:numPr>
          <w:ilvl w:val="0"/>
          <w:numId w:val="60"/>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配电箱安装完毕后送电调试，最后在箱内分配开关下方用标签纸标上每个回路所控制的具体负载名称位置，以便用户使用检修方便；</w:t>
      </w:r>
    </w:p>
    <w:p w14:paraId="0C2AC44B">
      <w:pPr>
        <w:pStyle w:val="3"/>
        <w:bidi w:val="0"/>
        <w:rPr>
          <w:rFonts w:hint="eastAsia"/>
        </w:rPr>
      </w:pPr>
      <w:bookmarkStart w:id="243" w:name="_Toc312692258"/>
      <w:bookmarkStart w:id="244" w:name="_Toc23564"/>
      <w:bookmarkStart w:id="245" w:name="_Toc296285085"/>
      <w:bookmarkStart w:id="246" w:name="_Toc10047"/>
      <w:bookmarkStart w:id="247" w:name="_Toc242848315"/>
      <w:bookmarkStart w:id="248" w:name="_Toc248948902"/>
      <w:r>
        <w:rPr>
          <w:rFonts w:hint="eastAsia"/>
          <w:lang w:eastAsia="zh-CN"/>
        </w:rPr>
        <w:t>8.</w:t>
      </w:r>
      <w:r>
        <w:rPr>
          <w:rFonts w:hint="eastAsia"/>
        </w:rPr>
        <w:t>4 能耗软件施工进度安排</w:t>
      </w:r>
      <w:bookmarkEnd w:id="243"/>
      <w:bookmarkEnd w:id="244"/>
      <w:bookmarkEnd w:id="245"/>
      <w:bookmarkEnd w:id="246"/>
      <w:bookmarkEnd w:id="247"/>
      <w:bookmarkEnd w:id="248"/>
    </w:p>
    <w:p w14:paraId="55234D63">
      <w:pPr>
        <w:numPr>
          <w:ilvl w:val="0"/>
          <w:numId w:val="61"/>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根据现场初步排摸的结果，本工程将包含以下工作阶段：</w:t>
      </w:r>
    </w:p>
    <w:p w14:paraId="26E04F68">
      <w:pPr>
        <w:numPr>
          <w:ilvl w:val="0"/>
          <w:numId w:val="61"/>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工程勘查阶段：了解现场环境，摸清用电回路各末端负载，记录负载功耗等前期勘查工作，为方案的设计提供确实有效的现场实际情况和相关数据；</w:t>
      </w:r>
    </w:p>
    <w:p w14:paraId="61785C0D">
      <w:pPr>
        <w:numPr>
          <w:ilvl w:val="0"/>
          <w:numId w:val="61"/>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系统设计阶段：通过工程勘查，结合相关导则文件要求，进行系统总体设计和线路设计等；</w:t>
      </w:r>
    </w:p>
    <w:p w14:paraId="56CEB74D">
      <w:pPr>
        <w:numPr>
          <w:ilvl w:val="0"/>
          <w:numId w:val="61"/>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软件需求调研阶段：对进行详细的需求调研、制定平台系统集成实施技术方案、功能需求方案书等；</w:t>
      </w:r>
    </w:p>
    <w:p w14:paraId="0DB6BD8C">
      <w:pPr>
        <w:numPr>
          <w:ilvl w:val="0"/>
          <w:numId w:val="61"/>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设备采购阶段：根据招标图纸和工程勘查后的结果选购各类设备，主要包括回路的计量表具、线缆、端子等设备；</w:t>
      </w:r>
    </w:p>
    <w:p w14:paraId="7AC16729">
      <w:pPr>
        <w:numPr>
          <w:ilvl w:val="0"/>
          <w:numId w:val="61"/>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安装、施工阶段：施工开始后我公司将安排工程人员进入现场施工，建设单位须指定专人予以配合，并提供必要的施工方便；</w:t>
      </w:r>
    </w:p>
    <w:p w14:paraId="22304DBA">
      <w:pPr>
        <w:numPr>
          <w:ilvl w:val="0"/>
          <w:numId w:val="61"/>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软件开发阶段：针对用户需求，开发相关软件子系统；</w:t>
      </w:r>
    </w:p>
    <w:p w14:paraId="013F33B5">
      <w:pPr>
        <w:numPr>
          <w:ilvl w:val="0"/>
          <w:numId w:val="61"/>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系统调试阶段：在采集设备及相关硬件设备安装完成的基础上进行软硬件连调，确保系统的稳定、可靠、准确；</w:t>
      </w:r>
    </w:p>
    <w:p w14:paraId="63CF05A3">
      <w:pPr>
        <w:numPr>
          <w:ilvl w:val="0"/>
          <w:numId w:val="61"/>
        </w:numPr>
        <w:tabs>
          <w:tab w:val="left" w:pos="900"/>
        </w:tabs>
        <w:spacing w:line="360" w:lineRule="auto"/>
        <w:ind w:left="48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竣工验收阶段：系统软硬件安装实施完工后将按国家有关规范要求进行竣工验收，并核对数据的正确性、合理性；</w:t>
      </w:r>
    </w:p>
    <w:p w14:paraId="191D47B4">
      <w:pPr>
        <w:pStyle w:val="3"/>
        <w:bidi w:val="0"/>
        <w:rPr>
          <w:rFonts w:hint="eastAsia"/>
        </w:rPr>
      </w:pPr>
      <w:bookmarkStart w:id="249" w:name="_Toc312692259"/>
      <w:bookmarkStart w:id="250" w:name="_Toc19786"/>
      <w:bookmarkStart w:id="251" w:name="_Toc21780"/>
      <w:bookmarkStart w:id="252" w:name="_Toc248948905"/>
      <w:bookmarkStart w:id="253" w:name="_Toc296285107"/>
      <w:bookmarkStart w:id="254" w:name="_Toc242848318"/>
      <w:r>
        <w:rPr>
          <w:rFonts w:hint="eastAsia"/>
          <w:lang w:eastAsia="zh-CN"/>
        </w:rPr>
        <w:t>8.</w:t>
      </w:r>
      <w:r>
        <w:rPr>
          <w:rFonts w:hint="eastAsia"/>
        </w:rPr>
        <w:t>5 进度保障措施</w:t>
      </w:r>
      <w:bookmarkEnd w:id="249"/>
      <w:bookmarkEnd w:id="250"/>
      <w:bookmarkEnd w:id="251"/>
      <w:bookmarkEnd w:id="252"/>
      <w:bookmarkEnd w:id="253"/>
      <w:bookmarkEnd w:id="254"/>
    </w:p>
    <w:p w14:paraId="3A5A2296">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确保</w:t>
      </w:r>
      <w:r>
        <w:rPr>
          <w:rFonts w:hint="eastAsia" w:ascii="微软雅黑 Light" w:hAnsi="微软雅黑 Light" w:cs="微软雅黑 Light"/>
          <w:sz w:val="21"/>
          <w:szCs w:val="21"/>
          <w:lang w:eastAsia="zh-CN"/>
        </w:rPr>
        <w:t>建筑能耗管理</w:t>
      </w:r>
      <w:r>
        <w:rPr>
          <w:rFonts w:hint="eastAsia" w:ascii="微软雅黑 Light" w:hAnsi="微软雅黑 Light" w:eastAsia="微软雅黑 Light" w:cs="微软雅黑 Light"/>
          <w:sz w:val="21"/>
          <w:szCs w:val="21"/>
        </w:rPr>
        <w:t>系统建设项目的工期要求，项目组依据丰富的工程管理经验在施工组织设计中作了如下施工进度保障措施：</w:t>
      </w:r>
    </w:p>
    <w:p w14:paraId="49403697">
      <w:pPr>
        <w:pStyle w:val="4"/>
        <w:bidi w:val="0"/>
        <w:rPr>
          <w:rFonts w:hint="eastAsia"/>
        </w:rPr>
      </w:pPr>
      <w:bookmarkStart w:id="255" w:name="_Toc243136149"/>
      <w:bookmarkEnd w:id="255"/>
      <w:bookmarkStart w:id="256" w:name="_Toc245201560"/>
      <w:bookmarkEnd w:id="256"/>
      <w:bookmarkStart w:id="257" w:name="_Toc32709"/>
      <w:bookmarkStart w:id="258" w:name="_Toc296285108"/>
      <w:bookmarkStart w:id="259" w:name="_Toc5506"/>
      <w:r>
        <w:rPr>
          <w:rFonts w:hint="eastAsia"/>
          <w:lang w:eastAsia="zh-CN"/>
        </w:rPr>
        <w:t>8.</w:t>
      </w:r>
      <w:r>
        <w:rPr>
          <w:rFonts w:hint="eastAsia"/>
        </w:rPr>
        <w:t>5.1实行目标管理，控制、协调及时</w:t>
      </w:r>
      <w:bookmarkEnd w:id="257"/>
      <w:bookmarkEnd w:id="258"/>
      <w:bookmarkEnd w:id="259"/>
    </w:p>
    <w:p w14:paraId="4987FC32">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将项目分解，确定施工进度目标，做好组织协调工作。通过落实各级人员岗位职责，定期召开工程协调会议，分析影响进度的因素，制定相应对策，经常性地对计划进行调整，确保进度目标的完成。</w:t>
      </w:r>
    </w:p>
    <w:p w14:paraId="40F17B17">
      <w:pPr>
        <w:pStyle w:val="4"/>
        <w:bidi w:val="0"/>
        <w:rPr>
          <w:rFonts w:hint="eastAsia"/>
        </w:rPr>
      </w:pPr>
      <w:bookmarkStart w:id="260" w:name="_Toc14849"/>
      <w:bookmarkStart w:id="261" w:name="_Toc296285109"/>
      <w:bookmarkStart w:id="262" w:name="_Toc6720"/>
      <w:r>
        <w:rPr>
          <w:rFonts w:hint="eastAsia"/>
          <w:lang w:eastAsia="zh-CN"/>
        </w:rPr>
        <w:t>8.</w:t>
      </w:r>
      <w:r>
        <w:rPr>
          <w:rFonts w:hint="eastAsia"/>
        </w:rPr>
        <w:t>5.2依靠科技进步，加快施工进度</w:t>
      </w:r>
      <w:bookmarkEnd w:id="260"/>
      <w:bookmarkEnd w:id="261"/>
      <w:bookmarkEnd w:id="262"/>
    </w:p>
    <w:p w14:paraId="2B5421AD">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采用我公司拥有的现代化装备，依靠雄厚的技术力量，推广使用新技术，新材料，制定切实可行，经济有效的施工操作规程，合理安排施工顺序，加快施工进度。</w:t>
      </w:r>
    </w:p>
    <w:p w14:paraId="4588A8CB">
      <w:pPr>
        <w:pStyle w:val="4"/>
        <w:bidi w:val="0"/>
        <w:rPr>
          <w:rFonts w:hint="eastAsia"/>
        </w:rPr>
      </w:pPr>
      <w:bookmarkStart w:id="263" w:name="_Toc296285110"/>
      <w:bookmarkStart w:id="264" w:name="_Toc10578"/>
      <w:bookmarkStart w:id="265" w:name="_Toc3714"/>
      <w:r>
        <w:rPr>
          <w:rFonts w:hint="eastAsia"/>
          <w:lang w:eastAsia="zh-CN"/>
        </w:rPr>
        <w:t>8.</w:t>
      </w:r>
      <w:r>
        <w:rPr>
          <w:rFonts w:hint="eastAsia"/>
        </w:rPr>
        <w:t>5.3搞好后勤保障，做到优质服务</w:t>
      </w:r>
      <w:bookmarkEnd w:id="263"/>
      <w:bookmarkEnd w:id="264"/>
      <w:bookmarkEnd w:id="265"/>
    </w:p>
    <w:p w14:paraId="6937D99D">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集中我公司力量确保重点，在人力、物力、机具等方面给予本工程充分的保证。通过计划进度与实际进度的比较，及时调整计划，采取应急措施。注意搞好与建设单位和协作单位的关系，及时沟通信息，顾全大局，服从建设方的决策，争取早日完成，做到进度快，投资省，质量高。</w:t>
      </w:r>
    </w:p>
    <w:p w14:paraId="28BAADFF">
      <w:pPr>
        <w:pStyle w:val="3"/>
        <w:bidi w:val="0"/>
        <w:rPr>
          <w:rFonts w:hint="eastAsia"/>
        </w:rPr>
      </w:pPr>
      <w:bookmarkStart w:id="266" w:name="_Toc296285111"/>
      <w:bookmarkStart w:id="267" w:name="_Toc312692260"/>
      <w:bookmarkStart w:id="268" w:name="_Toc248948906"/>
      <w:bookmarkStart w:id="269" w:name="_Toc242848319"/>
      <w:bookmarkStart w:id="270" w:name="_Toc6713"/>
      <w:bookmarkStart w:id="271" w:name="_Toc23169"/>
      <w:r>
        <w:rPr>
          <w:rFonts w:hint="eastAsia"/>
          <w:lang w:eastAsia="zh-CN"/>
        </w:rPr>
        <w:t>8.</w:t>
      </w:r>
      <w:r>
        <w:rPr>
          <w:rFonts w:hint="eastAsia"/>
        </w:rPr>
        <w:t>6 技术措施</w:t>
      </w:r>
      <w:bookmarkEnd w:id="266"/>
      <w:bookmarkEnd w:id="267"/>
      <w:bookmarkEnd w:id="268"/>
      <w:bookmarkEnd w:id="269"/>
      <w:bookmarkEnd w:id="270"/>
      <w:bookmarkEnd w:id="271"/>
    </w:p>
    <w:p w14:paraId="5E6D8C4C">
      <w:pPr>
        <w:pStyle w:val="4"/>
        <w:bidi w:val="0"/>
        <w:rPr>
          <w:rFonts w:hint="eastAsia"/>
        </w:rPr>
      </w:pPr>
      <w:bookmarkStart w:id="272" w:name="_Toc196887391"/>
      <w:bookmarkStart w:id="273" w:name="_Toc11722"/>
      <w:bookmarkStart w:id="274" w:name="_Toc32254"/>
      <w:bookmarkStart w:id="275" w:name="_Toc248948907"/>
      <w:bookmarkStart w:id="276" w:name="_Toc296285112"/>
      <w:bookmarkStart w:id="277" w:name="_Toc242848320"/>
      <w:r>
        <w:rPr>
          <w:rFonts w:hint="eastAsia"/>
          <w:lang w:eastAsia="zh-CN"/>
        </w:rPr>
        <w:t>8.</w:t>
      </w:r>
      <w:r>
        <w:rPr>
          <w:rFonts w:hint="eastAsia"/>
        </w:rPr>
        <w:t>6.1防范</w:t>
      </w:r>
      <w:bookmarkEnd w:id="272"/>
      <w:bookmarkEnd w:id="273"/>
      <w:bookmarkEnd w:id="274"/>
      <w:bookmarkEnd w:id="275"/>
      <w:bookmarkEnd w:id="276"/>
      <w:bookmarkEnd w:id="277"/>
    </w:p>
    <w:p w14:paraId="4C536446">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由于项目实施涉及到380V强电工程施工需要施工人员谨慎处事，进入施工现场必须严格执行安全生产规程。</w:t>
      </w:r>
    </w:p>
    <w:p w14:paraId="6FA7CF25">
      <w:pPr>
        <w:numPr>
          <w:ilvl w:val="0"/>
          <w:numId w:val="62"/>
        </w:num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特殊工种必须持证上岗；</w:t>
      </w:r>
    </w:p>
    <w:p w14:paraId="081B9D24">
      <w:pPr>
        <w:numPr>
          <w:ilvl w:val="0"/>
          <w:numId w:val="62"/>
        </w:num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施工上岗前检查随身物品，确保无易导电性物质，无易脱落物品；</w:t>
      </w:r>
    </w:p>
    <w:p w14:paraId="3EEB037D">
      <w:pPr>
        <w:numPr>
          <w:ilvl w:val="0"/>
          <w:numId w:val="62"/>
        </w:num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带电施工时需二人以上工作；</w:t>
      </w:r>
    </w:p>
    <w:p w14:paraId="6DCF40E6">
      <w:pPr>
        <w:numPr>
          <w:ilvl w:val="0"/>
          <w:numId w:val="62"/>
        </w:num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对暴露在外的带电设备做好绝缘保护；</w:t>
      </w:r>
    </w:p>
    <w:p w14:paraId="23105EC5">
      <w:pPr>
        <w:numPr>
          <w:ilvl w:val="0"/>
          <w:numId w:val="62"/>
        </w:num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施工作业时必须正确穿戴个人防护用品；</w:t>
      </w:r>
    </w:p>
    <w:p w14:paraId="2AF59E92">
      <w:pPr>
        <w:pStyle w:val="4"/>
        <w:bidi w:val="0"/>
        <w:rPr>
          <w:rFonts w:hint="eastAsia"/>
        </w:rPr>
      </w:pPr>
      <w:bookmarkStart w:id="278" w:name="_Toc248948908"/>
      <w:bookmarkStart w:id="279" w:name="_Toc242848321"/>
      <w:bookmarkStart w:id="280" w:name="_Toc15975"/>
      <w:bookmarkStart w:id="281" w:name="_Toc296285113"/>
      <w:bookmarkStart w:id="282" w:name="_Toc4379"/>
      <w:r>
        <w:rPr>
          <w:rFonts w:hint="eastAsia"/>
          <w:lang w:eastAsia="zh-CN"/>
        </w:rPr>
        <w:t>8.</w:t>
      </w:r>
      <w:r>
        <w:rPr>
          <w:rFonts w:hint="eastAsia"/>
        </w:rPr>
        <w:t>6.2技术要求</w:t>
      </w:r>
      <w:bookmarkEnd w:id="278"/>
      <w:bookmarkEnd w:id="279"/>
      <w:bookmarkEnd w:id="280"/>
      <w:bookmarkEnd w:id="281"/>
      <w:bookmarkEnd w:id="282"/>
    </w:p>
    <w:p w14:paraId="267D219F">
      <w:pPr>
        <w:pStyle w:val="5"/>
        <w:spacing w:before="0" w:after="0" w:line="360" w:lineRule="auto"/>
        <w:ind w:left="0" w:firstLine="0"/>
        <w:rPr>
          <w:rFonts w:hint="eastAsia" w:ascii="微软雅黑 Light" w:hAnsi="微软雅黑 Light" w:eastAsia="微软雅黑 Light" w:cs="微软雅黑 Light"/>
          <w:sz w:val="21"/>
          <w:szCs w:val="21"/>
        </w:rPr>
      </w:pPr>
      <w:bookmarkStart w:id="283" w:name="_Toc179562006"/>
      <w:bookmarkStart w:id="284" w:name="_Toc179959840"/>
      <w:bookmarkStart w:id="285" w:name="_Toc296285114"/>
      <w:bookmarkStart w:id="286" w:name="_Toc179959109"/>
      <w:bookmarkStart w:id="287" w:name="_Toc196887392"/>
      <w:bookmarkStart w:id="288" w:name="_Toc178760410"/>
      <w:r>
        <w:rPr>
          <w:rFonts w:hint="eastAsia" w:ascii="微软雅黑 Light" w:hAnsi="微软雅黑 Light" w:cs="微软雅黑 Light"/>
          <w:sz w:val="21"/>
          <w:szCs w:val="21"/>
          <w:lang w:eastAsia="zh-CN"/>
        </w:rPr>
        <w:t>8.</w:t>
      </w:r>
      <w:r>
        <w:rPr>
          <w:rFonts w:hint="eastAsia" w:ascii="微软雅黑 Light" w:hAnsi="微软雅黑 Light" w:eastAsia="微软雅黑 Light" w:cs="微软雅黑 Light"/>
          <w:sz w:val="21"/>
          <w:szCs w:val="21"/>
        </w:rPr>
        <w:t>6.2.1管内穿线施工技术要求</w:t>
      </w:r>
      <w:bookmarkEnd w:id="283"/>
      <w:bookmarkEnd w:id="284"/>
      <w:bookmarkEnd w:id="285"/>
      <w:bookmarkEnd w:id="286"/>
      <w:bookmarkEnd w:id="287"/>
      <w:bookmarkEnd w:id="288"/>
    </w:p>
    <w:p w14:paraId="727E720B">
      <w:pPr>
        <w:numPr>
          <w:ilvl w:val="0"/>
          <w:numId w:val="63"/>
        </w:num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管内线要在建筑物抹灰、粉刷及地面工程结束后进行。穿线前，应将电线管内的积水和杂物清除干净；</w:t>
      </w:r>
    </w:p>
    <w:p w14:paraId="4C183635">
      <w:pPr>
        <w:numPr>
          <w:ilvl w:val="0"/>
          <w:numId w:val="63"/>
        </w:num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不同电压等级，不同回路及交流与直流的导线不能穿在同一根线管内；</w:t>
      </w:r>
    </w:p>
    <w:p w14:paraId="34209C83">
      <w:pPr>
        <w:numPr>
          <w:ilvl w:val="0"/>
          <w:numId w:val="63"/>
        </w:num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导线在管内不能有接头和扭结，接头应在接线盒（箱）内；</w:t>
      </w:r>
    </w:p>
    <w:p w14:paraId="70545138">
      <w:pPr>
        <w:numPr>
          <w:ilvl w:val="0"/>
          <w:numId w:val="63"/>
        </w:num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导线穿入钢管时，管口处应装设护线套保护导线；</w:t>
      </w:r>
    </w:p>
    <w:p w14:paraId="1BC3D475">
      <w:pPr>
        <w:numPr>
          <w:ilvl w:val="0"/>
          <w:numId w:val="63"/>
        </w:num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按图施工，接线正确；</w:t>
      </w:r>
    </w:p>
    <w:p w14:paraId="1EA16D61">
      <w:pPr>
        <w:numPr>
          <w:ilvl w:val="0"/>
          <w:numId w:val="63"/>
        </w:num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导线与电器元件间可采用螺栓连接，连接必须牢固可靠；</w:t>
      </w:r>
    </w:p>
    <w:p w14:paraId="25FC3AEF">
      <w:pPr>
        <w:numPr>
          <w:ilvl w:val="0"/>
          <w:numId w:val="63"/>
        </w:num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柜内的导线不能有接头，导线芯线不能有损伤；</w:t>
      </w:r>
    </w:p>
    <w:p w14:paraId="311BEFFD">
      <w:pPr>
        <w:numPr>
          <w:ilvl w:val="0"/>
          <w:numId w:val="63"/>
        </w:num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电缆芯线和所配导线的端部要标以回路编号，编号正确，字迹清晰且不易脱色；</w:t>
      </w:r>
    </w:p>
    <w:p w14:paraId="573B5130">
      <w:pPr>
        <w:numPr>
          <w:ilvl w:val="0"/>
          <w:numId w:val="63"/>
        </w:num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配线要整齐、清晰、美观、导线绝缘良好，无损伤；</w:t>
      </w:r>
    </w:p>
    <w:p w14:paraId="2004B291">
      <w:pPr>
        <w:numPr>
          <w:ilvl w:val="0"/>
          <w:numId w:val="63"/>
        </w:num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引入柜的电缆应排列整齐、编号清晰、避免交叉、固定牢靠；</w:t>
      </w:r>
    </w:p>
    <w:p w14:paraId="07317A0B">
      <w:pPr>
        <w:numPr>
          <w:ilvl w:val="0"/>
          <w:numId w:val="63"/>
        </w:num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柜内的电缆芯线要按垂直或水平方向有规律地配置，不能任意歪斜交叉联接，备用芯线长度要留有适当的余量；</w:t>
      </w:r>
    </w:p>
    <w:p w14:paraId="7CE3B9D0">
      <w:pPr>
        <w:numPr>
          <w:ilvl w:val="0"/>
          <w:numId w:val="63"/>
        </w:num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强、弱电回路不要使用同一根电缆，并且应分别成束、分开排列；</w:t>
      </w:r>
    </w:p>
    <w:p w14:paraId="1B78B4A6">
      <w:pPr>
        <w:pStyle w:val="5"/>
        <w:spacing w:before="0" w:after="0" w:line="360" w:lineRule="auto"/>
        <w:ind w:left="0" w:firstLine="0"/>
        <w:rPr>
          <w:rFonts w:hint="eastAsia" w:ascii="微软雅黑 Light" w:hAnsi="微软雅黑 Light" w:eastAsia="微软雅黑 Light" w:cs="微软雅黑 Light"/>
          <w:sz w:val="21"/>
          <w:szCs w:val="21"/>
        </w:rPr>
      </w:pPr>
      <w:bookmarkStart w:id="289" w:name="_Toc196887394"/>
      <w:bookmarkStart w:id="290" w:name="_Toc296285115"/>
      <w:r>
        <w:rPr>
          <w:rFonts w:hint="eastAsia" w:ascii="微软雅黑 Light" w:hAnsi="微软雅黑 Light" w:cs="微软雅黑 Light"/>
          <w:sz w:val="21"/>
          <w:szCs w:val="21"/>
          <w:lang w:eastAsia="zh-CN"/>
        </w:rPr>
        <w:t>8.</w:t>
      </w:r>
      <w:r>
        <w:rPr>
          <w:rFonts w:hint="eastAsia" w:ascii="微软雅黑 Light" w:hAnsi="微软雅黑 Light" w:eastAsia="微软雅黑 Light" w:cs="微软雅黑 Light"/>
          <w:sz w:val="21"/>
          <w:szCs w:val="21"/>
        </w:rPr>
        <w:t>6.2.2电压、电流获取的技术要求</w:t>
      </w:r>
      <w:bookmarkEnd w:id="289"/>
      <w:bookmarkEnd w:id="290"/>
    </w:p>
    <w:p w14:paraId="7E26893E">
      <w:pPr>
        <w:numPr>
          <w:ilvl w:val="0"/>
          <w:numId w:val="64"/>
        </w:num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检查原有互感器安装是否正确；确保与铭标一致；</w:t>
      </w:r>
    </w:p>
    <w:p w14:paraId="25F3FC20">
      <w:pPr>
        <w:numPr>
          <w:ilvl w:val="0"/>
          <w:numId w:val="64"/>
        </w:num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互感器一次侧应为P1进线，P2出线；</w:t>
      </w:r>
    </w:p>
    <w:p w14:paraId="6E42CB1E">
      <w:pPr>
        <w:numPr>
          <w:ilvl w:val="0"/>
          <w:numId w:val="64"/>
        </w:num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二次侧，S1应为头，S2应为尾；</w:t>
      </w:r>
    </w:p>
    <w:p w14:paraId="09F4D115">
      <w:pPr>
        <w:numPr>
          <w:ilvl w:val="0"/>
          <w:numId w:val="64"/>
        </w:num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一定要将电流互感器的尾（S2）接地；</w:t>
      </w:r>
    </w:p>
    <w:p w14:paraId="01D9F3E7">
      <w:pPr>
        <w:numPr>
          <w:ilvl w:val="0"/>
          <w:numId w:val="64"/>
        </w:num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二次侧杜绝开路；</w:t>
      </w:r>
    </w:p>
    <w:p w14:paraId="01B00E13">
      <w:pPr>
        <w:numPr>
          <w:ilvl w:val="0"/>
          <w:numId w:val="64"/>
        </w:num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电压接线方式采用三相四线制；</w:t>
      </w:r>
    </w:p>
    <w:p w14:paraId="642AC178">
      <w:pPr>
        <w:numPr>
          <w:ilvl w:val="0"/>
          <w:numId w:val="64"/>
        </w:num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电压获取端在入表前必须安装1A熔断器；</w:t>
      </w:r>
    </w:p>
    <w:p w14:paraId="227DB5B4">
      <w:pPr>
        <w:pStyle w:val="4"/>
        <w:bidi w:val="0"/>
        <w:rPr>
          <w:rFonts w:hint="eastAsia"/>
        </w:rPr>
      </w:pPr>
      <w:bookmarkStart w:id="291" w:name="_Toc242848322"/>
      <w:bookmarkStart w:id="292" w:name="_Toc14069"/>
      <w:bookmarkStart w:id="293" w:name="_Toc296285116"/>
      <w:bookmarkStart w:id="294" w:name="_Toc248948909"/>
      <w:bookmarkStart w:id="295" w:name="_Toc7247"/>
      <w:r>
        <w:rPr>
          <w:rFonts w:hint="eastAsia"/>
          <w:lang w:eastAsia="zh-CN"/>
        </w:rPr>
        <w:t>8.</w:t>
      </w:r>
      <w:r>
        <w:rPr>
          <w:rFonts w:hint="eastAsia"/>
        </w:rPr>
        <w:t>6.3系统调试</w:t>
      </w:r>
      <w:bookmarkEnd w:id="291"/>
      <w:bookmarkEnd w:id="292"/>
      <w:bookmarkEnd w:id="293"/>
      <w:bookmarkEnd w:id="294"/>
      <w:bookmarkEnd w:id="295"/>
    </w:p>
    <w:p w14:paraId="1C165C3F">
      <w:pPr>
        <w:pStyle w:val="5"/>
        <w:spacing w:before="120" w:beforeLines="50" w:after="120" w:afterLines="50" w:line="360" w:lineRule="auto"/>
        <w:ind w:left="0" w:firstLine="0"/>
        <w:rPr>
          <w:rFonts w:hint="eastAsia" w:ascii="微软雅黑 Light" w:hAnsi="微软雅黑 Light" w:eastAsia="微软雅黑 Light" w:cs="微软雅黑 Light"/>
          <w:sz w:val="21"/>
          <w:szCs w:val="21"/>
        </w:rPr>
      </w:pPr>
      <w:bookmarkStart w:id="296" w:name="_Toc296285117"/>
      <w:r>
        <w:rPr>
          <w:rFonts w:hint="eastAsia" w:ascii="微软雅黑 Light" w:hAnsi="微软雅黑 Light" w:cs="微软雅黑 Light"/>
          <w:sz w:val="21"/>
          <w:szCs w:val="21"/>
          <w:lang w:eastAsia="zh-CN"/>
        </w:rPr>
        <w:t>8.</w:t>
      </w:r>
      <w:r>
        <w:rPr>
          <w:rFonts w:hint="eastAsia" w:ascii="微软雅黑 Light" w:hAnsi="微软雅黑 Light" w:eastAsia="微软雅黑 Light" w:cs="微软雅黑 Light"/>
          <w:sz w:val="21"/>
          <w:szCs w:val="21"/>
        </w:rPr>
        <w:t>6.3.1调试准备</w:t>
      </w:r>
      <w:bookmarkEnd w:id="296"/>
    </w:p>
    <w:p w14:paraId="430ED9A3">
      <w:pPr>
        <w:numPr>
          <w:ilvl w:val="0"/>
          <w:numId w:val="65"/>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备齐如下文件</w:t>
      </w:r>
    </w:p>
    <w:p w14:paraId="156470B1">
      <w:pPr>
        <w:numPr>
          <w:ilvl w:val="0"/>
          <w:numId w:val="64"/>
        </w:num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系统全部设计文件及施工过程中对设计图纸、资料的修正和变更；</w:t>
      </w:r>
    </w:p>
    <w:p w14:paraId="02D6AC52">
      <w:pPr>
        <w:numPr>
          <w:ilvl w:val="0"/>
          <w:numId w:val="64"/>
        </w:num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能耗计量装置及系统产品的使用说明和技术资料；</w:t>
      </w:r>
    </w:p>
    <w:p w14:paraId="768B38E1">
      <w:pPr>
        <w:numPr>
          <w:ilvl w:val="0"/>
          <w:numId w:val="65"/>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编拟系统调试大纲，包括调试程序、测试项目、测试方法、与被计量用能系统协调方案、相关技术标准和指标等；</w:t>
      </w:r>
    </w:p>
    <w:p w14:paraId="242131FC">
      <w:pPr>
        <w:numPr>
          <w:ilvl w:val="0"/>
          <w:numId w:val="65"/>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调试的专用工具和检测仪器、仪表见下表：</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2"/>
        <w:gridCol w:w="2331"/>
        <w:gridCol w:w="1975"/>
        <w:gridCol w:w="1200"/>
      </w:tblGrid>
      <w:tr w14:paraId="59D49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672" w:type="dxa"/>
            <w:shd w:val="clear" w:color="auto" w:fill="0000FF"/>
            <w:noWrap w:val="0"/>
            <w:vAlign w:val="center"/>
          </w:tcPr>
          <w:p w14:paraId="1910FDEC">
            <w:pPr>
              <w:pStyle w:val="39"/>
              <w:adjustRightInd/>
              <w:jc w:val="center"/>
              <w:textAlignment w:val="auto"/>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序号</w:t>
            </w:r>
          </w:p>
        </w:tc>
        <w:tc>
          <w:tcPr>
            <w:tcW w:w="2331" w:type="dxa"/>
            <w:shd w:val="clear" w:color="auto" w:fill="0000FF"/>
            <w:noWrap w:val="0"/>
            <w:vAlign w:val="center"/>
          </w:tcPr>
          <w:p w14:paraId="17AE5BDA">
            <w:pPr>
              <w:pStyle w:val="39"/>
              <w:adjustRightInd/>
              <w:jc w:val="center"/>
              <w:textAlignment w:val="auto"/>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仪器名称</w:t>
            </w:r>
          </w:p>
        </w:tc>
        <w:tc>
          <w:tcPr>
            <w:tcW w:w="1975" w:type="dxa"/>
            <w:shd w:val="clear" w:color="auto" w:fill="0000FF"/>
            <w:noWrap w:val="0"/>
            <w:vAlign w:val="center"/>
          </w:tcPr>
          <w:p w14:paraId="546F3D12">
            <w:pPr>
              <w:pStyle w:val="39"/>
              <w:adjustRightInd/>
              <w:jc w:val="center"/>
              <w:textAlignment w:val="auto"/>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型号/规格</w:t>
            </w:r>
          </w:p>
        </w:tc>
        <w:tc>
          <w:tcPr>
            <w:tcW w:w="1200" w:type="dxa"/>
            <w:shd w:val="clear" w:color="auto" w:fill="0000FF"/>
            <w:noWrap w:val="0"/>
            <w:vAlign w:val="center"/>
          </w:tcPr>
          <w:p w14:paraId="6EB43593">
            <w:pPr>
              <w:pStyle w:val="39"/>
              <w:adjustRightInd/>
              <w:jc w:val="center"/>
              <w:textAlignment w:val="auto"/>
              <w:rPr>
                <w:rFonts w:hint="eastAsia" w:ascii="微软雅黑 Light" w:hAnsi="微软雅黑 Light" w:eastAsia="微软雅黑 Light" w:cs="微软雅黑 Light"/>
                <w:b/>
                <w:bCs/>
                <w:sz w:val="21"/>
                <w:szCs w:val="21"/>
              </w:rPr>
            </w:pPr>
            <w:r>
              <w:rPr>
                <w:rFonts w:hint="eastAsia" w:ascii="微软雅黑 Light" w:hAnsi="微软雅黑 Light" w:eastAsia="微软雅黑 Light" w:cs="微软雅黑 Light"/>
                <w:b/>
                <w:bCs/>
                <w:sz w:val="21"/>
                <w:szCs w:val="21"/>
              </w:rPr>
              <w:t>备注</w:t>
            </w:r>
          </w:p>
        </w:tc>
      </w:tr>
      <w:tr w14:paraId="7B842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72" w:type="dxa"/>
            <w:noWrap w:val="0"/>
            <w:vAlign w:val="center"/>
          </w:tcPr>
          <w:p w14:paraId="3FE88049">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1</w:t>
            </w:r>
          </w:p>
        </w:tc>
        <w:tc>
          <w:tcPr>
            <w:tcW w:w="2331" w:type="dxa"/>
            <w:noWrap w:val="0"/>
            <w:vAlign w:val="center"/>
          </w:tcPr>
          <w:p w14:paraId="5268E44F">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三相四线电力分析仪</w:t>
            </w:r>
          </w:p>
        </w:tc>
        <w:tc>
          <w:tcPr>
            <w:tcW w:w="1975" w:type="dxa"/>
            <w:noWrap w:val="0"/>
            <w:vAlign w:val="center"/>
          </w:tcPr>
          <w:p w14:paraId="34130136">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TES 3600</w:t>
            </w:r>
          </w:p>
        </w:tc>
        <w:tc>
          <w:tcPr>
            <w:tcW w:w="1200" w:type="dxa"/>
            <w:noWrap w:val="0"/>
            <w:vAlign w:val="center"/>
          </w:tcPr>
          <w:p w14:paraId="3511C33F">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　</w:t>
            </w:r>
          </w:p>
        </w:tc>
      </w:tr>
      <w:tr w14:paraId="65780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2" w:type="dxa"/>
            <w:noWrap w:val="0"/>
            <w:vAlign w:val="center"/>
          </w:tcPr>
          <w:p w14:paraId="6B9FB01A">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2</w:t>
            </w:r>
          </w:p>
        </w:tc>
        <w:tc>
          <w:tcPr>
            <w:tcW w:w="2331" w:type="dxa"/>
            <w:noWrap w:val="0"/>
            <w:vAlign w:val="center"/>
          </w:tcPr>
          <w:p w14:paraId="088EC1A1">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钳表式接地电阻仪</w:t>
            </w:r>
          </w:p>
        </w:tc>
        <w:tc>
          <w:tcPr>
            <w:tcW w:w="1975" w:type="dxa"/>
            <w:noWrap w:val="0"/>
            <w:vAlign w:val="center"/>
          </w:tcPr>
          <w:p w14:paraId="75DD5C41">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5637</w:t>
            </w:r>
          </w:p>
        </w:tc>
        <w:tc>
          <w:tcPr>
            <w:tcW w:w="1200" w:type="dxa"/>
            <w:noWrap w:val="0"/>
            <w:vAlign w:val="center"/>
          </w:tcPr>
          <w:p w14:paraId="1C0B4EA1">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　</w:t>
            </w:r>
          </w:p>
        </w:tc>
      </w:tr>
      <w:tr w14:paraId="4E647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2" w:type="dxa"/>
            <w:noWrap w:val="0"/>
            <w:vAlign w:val="center"/>
          </w:tcPr>
          <w:p w14:paraId="6C7D2D2F">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3</w:t>
            </w:r>
          </w:p>
        </w:tc>
        <w:tc>
          <w:tcPr>
            <w:tcW w:w="2331" w:type="dxa"/>
            <w:noWrap w:val="0"/>
            <w:vAlign w:val="center"/>
          </w:tcPr>
          <w:p w14:paraId="7B784BB0">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网络电缆分析仪</w:t>
            </w:r>
          </w:p>
        </w:tc>
        <w:tc>
          <w:tcPr>
            <w:tcW w:w="1975" w:type="dxa"/>
            <w:noWrap w:val="0"/>
            <w:vAlign w:val="center"/>
          </w:tcPr>
          <w:p w14:paraId="4392324D">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DSP-4000</w:t>
            </w:r>
          </w:p>
        </w:tc>
        <w:tc>
          <w:tcPr>
            <w:tcW w:w="1200" w:type="dxa"/>
            <w:noWrap w:val="0"/>
            <w:vAlign w:val="center"/>
          </w:tcPr>
          <w:p w14:paraId="42CBE061">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　</w:t>
            </w:r>
          </w:p>
        </w:tc>
      </w:tr>
      <w:tr w14:paraId="5E197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672" w:type="dxa"/>
            <w:noWrap w:val="0"/>
            <w:vAlign w:val="center"/>
          </w:tcPr>
          <w:p w14:paraId="35BA0FFD">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4</w:t>
            </w:r>
          </w:p>
        </w:tc>
        <w:tc>
          <w:tcPr>
            <w:tcW w:w="2331" w:type="dxa"/>
            <w:noWrap w:val="0"/>
            <w:vAlign w:val="center"/>
          </w:tcPr>
          <w:p w14:paraId="6569E386">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网络测试仪</w:t>
            </w:r>
          </w:p>
        </w:tc>
        <w:tc>
          <w:tcPr>
            <w:tcW w:w="1975" w:type="dxa"/>
            <w:noWrap w:val="0"/>
            <w:vAlign w:val="center"/>
          </w:tcPr>
          <w:p w14:paraId="4AFD3408">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smartbit 600B</w:t>
            </w:r>
          </w:p>
        </w:tc>
        <w:tc>
          <w:tcPr>
            <w:tcW w:w="1200" w:type="dxa"/>
            <w:noWrap w:val="0"/>
            <w:vAlign w:val="center"/>
          </w:tcPr>
          <w:p w14:paraId="15E5388C">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　</w:t>
            </w:r>
          </w:p>
        </w:tc>
      </w:tr>
      <w:tr w14:paraId="2D577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672" w:type="dxa"/>
            <w:noWrap w:val="0"/>
            <w:vAlign w:val="center"/>
          </w:tcPr>
          <w:p w14:paraId="29B2F996">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5</w:t>
            </w:r>
          </w:p>
        </w:tc>
        <w:tc>
          <w:tcPr>
            <w:tcW w:w="2331" w:type="dxa"/>
            <w:noWrap w:val="0"/>
            <w:vAlign w:val="center"/>
          </w:tcPr>
          <w:p w14:paraId="64EB3467">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工业型万用示波表</w:t>
            </w:r>
          </w:p>
        </w:tc>
        <w:tc>
          <w:tcPr>
            <w:tcW w:w="1975" w:type="dxa"/>
            <w:noWrap w:val="0"/>
            <w:vAlign w:val="center"/>
          </w:tcPr>
          <w:p w14:paraId="289B565D">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123</w:t>
            </w:r>
          </w:p>
        </w:tc>
        <w:tc>
          <w:tcPr>
            <w:tcW w:w="1200" w:type="dxa"/>
            <w:noWrap w:val="0"/>
            <w:vAlign w:val="center"/>
          </w:tcPr>
          <w:p w14:paraId="59A26A34">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　</w:t>
            </w:r>
          </w:p>
        </w:tc>
      </w:tr>
      <w:tr w14:paraId="04FFD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2" w:type="dxa"/>
            <w:noWrap w:val="0"/>
            <w:vAlign w:val="center"/>
          </w:tcPr>
          <w:p w14:paraId="6A72C08B">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6</w:t>
            </w:r>
          </w:p>
        </w:tc>
        <w:tc>
          <w:tcPr>
            <w:tcW w:w="2331" w:type="dxa"/>
            <w:noWrap w:val="0"/>
            <w:vAlign w:val="center"/>
          </w:tcPr>
          <w:p w14:paraId="24319188">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高斯计</w:t>
            </w:r>
          </w:p>
        </w:tc>
        <w:tc>
          <w:tcPr>
            <w:tcW w:w="1975" w:type="dxa"/>
            <w:noWrap w:val="0"/>
            <w:vAlign w:val="center"/>
          </w:tcPr>
          <w:p w14:paraId="206F28C0">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1391</w:t>
            </w:r>
          </w:p>
        </w:tc>
        <w:tc>
          <w:tcPr>
            <w:tcW w:w="1200" w:type="dxa"/>
            <w:noWrap w:val="0"/>
            <w:vAlign w:val="center"/>
          </w:tcPr>
          <w:p w14:paraId="04FA1523">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　</w:t>
            </w:r>
          </w:p>
        </w:tc>
      </w:tr>
      <w:tr w14:paraId="62FB5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672" w:type="dxa"/>
            <w:noWrap w:val="0"/>
            <w:vAlign w:val="center"/>
          </w:tcPr>
          <w:p w14:paraId="5DED8E87">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7</w:t>
            </w:r>
          </w:p>
        </w:tc>
        <w:tc>
          <w:tcPr>
            <w:tcW w:w="2331" w:type="dxa"/>
            <w:noWrap w:val="0"/>
            <w:vAlign w:val="center"/>
          </w:tcPr>
          <w:p w14:paraId="01CADD9B">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游标卡尺</w:t>
            </w:r>
          </w:p>
        </w:tc>
        <w:tc>
          <w:tcPr>
            <w:tcW w:w="1975" w:type="dxa"/>
            <w:noWrap w:val="0"/>
            <w:vAlign w:val="center"/>
          </w:tcPr>
          <w:p w14:paraId="01F80C6E">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0～200mm</w:t>
            </w:r>
          </w:p>
        </w:tc>
        <w:tc>
          <w:tcPr>
            <w:tcW w:w="1200" w:type="dxa"/>
            <w:noWrap w:val="0"/>
            <w:vAlign w:val="center"/>
          </w:tcPr>
          <w:p w14:paraId="78481F7A">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　</w:t>
            </w:r>
          </w:p>
        </w:tc>
      </w:tr>
      <w:tr w14:paraId="5AB46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672" w:type="dxa"/>
            <w:noWrap w:val="0"/>
            <w:vAlign w:val="center"/>
          </w:tcPr>
          <w:p w14:paraId="3A122660">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8</w:t>
            </w:r>
          </w:p>
        </w:tc>
        <w:tc>
          <w:tcPr>
            <w:tcW w:w="2331" w:type="dxa"/>
            <w:noWrap w:val="0"/>
            <w:vAlign w:val="center"/>
          </w:tcPr>
          <w:p w14:paraId="6BC63194">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钢卷尺</w:t>
            </w:r>
          </w:p>
        </w:tc>
        <w:tc>
          <w:tcPr>
            <w:tcW w:w="1975" w:type="dxa"/>
            <w:noWrap w:val="0"/>
            <w:vAlign w:val="center"/>
          </w:tcPr>
          <w:p w14:paraId="4FD30E84">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10m</w:t>
            </w:r>
          </w:p>
        </w:tc>
        <w:tc>
          <w:tcPr>
            <w:tcW w:w="1200" w:type="dxa"/>
            <w:noWrap w:val="0"/>
            <w:vAlign w:val="center"/>
          </w:tcPr>
          <w:p w14:paraId="7168F1B8">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　</w:t>
            </w:r>
          </w:p>
        </w:tc>
      </w:tr>
      <w:tr w14:paraId="1B910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672" w:type="dxa"/>
            <w:noWrap w:val="0"/>
            <w:vAlign w:val="center"/>
          </w:tcPr>
          <w:p w14:paraId="6EEEB2A1">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9</w:t>
            </w:r>
          </w:p>
        </w:tc>
        <w:tc>
          <w:tcPr>
            <w:tcW w:w="2331" w:type="dxa"/>
            <w:noWrap w:val="0"/>
            <w:vAlign w:val="center"/>
          </w:tcPr>
          <w:p w14:paraId="6EEA48C4">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红外温度计</w:t>
            </w:r>
          </w:p>
        </w:tc>
        <w:tc>
          <w:tcPr>
            <w:tcW w:w="1975" w:type="dxa"/>
            <w:noWrap w:val="0"/>
            <w:vAlign w:val="center"/>
          </w:tcPr>
          <w:p w14:paraId="0DD4A136">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AZ8889</w:t>
            </w:r>
          </w:p>
        </w:tc>
        <w:tc>
          <w:tcPr>
            <w:tcW w:w="1200" w:type="dxa"/>
            <w:noWrap w:val="0"/>
            <w:vAlign w:val="center"/>
          </w:tcPr>
          <w:p w14:paraId="5C0FADD6">
            <w:pPr>
              <w:pStyle w:val="39"/>
              <w:adjustRightInd/>
              <w:jc w:val="center"/>
              <w:textAlignment w:val="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　</w:t>
            </w:r>
          </w:p>
        </w:tc>
      </w:tr>
    </w:tbl>
    <w:p w14:paraId="6206D571">
      <w:pPr>
        <w:pStyle w:val="11"/>
        <w:spacing w:line="360" w:lineRule="auto"/>
        <w:ind w:firstLine="0" w:firstLineChars="0"/>
        <w:jc w:val="center"/>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表7-3专用工具和检测仪器</w:t>
      </w:r>
    </w:p>
    <w:p w14:paraId="1EA4BA9B">
      <w:pPr>
        <w:numPr>
          <w:ilvl w:val="0"/>
          <w:numId w:val="65"/>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现场查对计量装置、传输系统中间设备安装部位和数量，应与设计图纸、设计变更和安装记录无误，安装外观、工艺应符合规范；</w:t>
      </w:r>
    </w:p>
    <w:p w14:paraId="57B9ADA8">
      <w:pPr>
        <w:numPr>
          <w:ilvl w:val="0"/>
          <w:numId w:val="65"/>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在能耗数据采集器专用管理软件中设定信息采集点、计量装置的编码地址，设定能耗分类、分项，申请设定能耗计量系统在数据发送通信网络中地址和编码，并查对无误；</w:t>
      </w:r>
    </w:p>
    <w:p w14:paraId="17C91401">
      <w:pPr>
        <w:numPr>
          <w:ilvl w:val="0"/>
          <w:numId w:val="65"/>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仪表接线与设定值一致（三相四线制）；</w:t>
      </w:r>
    </w:p>
    <w:p w14:paraId="7DAC21C1">
      <w:pPr>
        <w:numPr>
          <w:ilvl w:val="0"/>
          <w:numId w:val="65"/>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检查系统内所有有源设备供电电源和接地，应准确无误；</w:t>
      </w:r>
    </w:p>
    <w:p w14:paraId="2E4C4044">
      <w:pPr>
        <w:pStyle w:val="5"/>
        <w:spacing w:before="120" w:beforeLines="50" w:after="120" w:afterLines="50" w:line="360" w:lineRule="auto"/>
        <w:ind w:left="0" w:firstLine="0"/>
        <w:rPr>
          <w:rFonts w:hint="eastAsia" w:ascii="微软雅黑 Light" w:hAnsi="微软雅黑 Light" w:eastAsia="微软雅黑 Light" w:cs="微软雅黑 Light"/>
          <w:sz w:val="21"/>
          <w:szCs w:val="21"/>
        </w:rPr>
      </w:pPr>
      <w:bookmarkStart w:id="297" w:name="_Toc296285118"/>
      <w:r>
        <w:rPr>
          <w:rFonts w:hint="eastAsia" w:ascii="微软雅黑 Light" w:hAnsi="微软雅黑 Light" w:cs="微软雅黑 Light"/>
          <w:sz w:val="21"/>
          <w:szCs w:val="21"/>
          <w:lang w:eastAsia="zh-CN"/>
        </w:rPr>
        <w:t>8.</w:t>
      </w:r>
      <w:r>
        <w:rPr>
          <w:rFonts w:hint="eastAsia" w:ascii="微软雅黑 Light" w:hAnsi="微软雅黑 Light" w:eastAsia="微软雅黑 Light" w:cs="微软雅黑 Light"/>
          <w:sz w:val="21"/>
          <w:szCs w:val="21"/>
        </w:rPr>
        <w:t>6.3.2计量单点调试</w:t>
      </w:r>
      <w:bookmarkEnd w:id="297"/>
    </w:p>
    <w:p w14:paraId="6DA90FDE">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使用装有能耗计量管理系统的计算机，逐一连接能耗计量装置数据输出接口，按如下步骤查对信息采集数据与计量装置盘面数值：</w:t>
      </w:r>
    </w:p>
    <w:p w14:paraId="1FC33A01">
      <w:pPr>
        <w:numPr>
          <w:ilvl w:val="0"/>
          <w:numId w:val="66"/>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设定初始值。对于具有计量数据积累的信息采集设备，设定计量初始值与计量装置盘面数据一致，电流互感器二次侧电流值确保与对应的互感器铭牌一致；</w:t>
      </w:r>
    </w:p>
    <w:p w14:paraId="561F882E">
      <w:pPr>
        <w:numPr>
          <w:ilvl w:val="0"/>
          <w:numId w:val="66"/>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按供能系统规范和操作规程开启能耗负载，检查信息采集数据和计量装置盘面数据，应正常显示，两者误差符合设计规定；</w:t>
      </w:r>
    </w:p>
    <w:p w14:paraId="0D6C7C83">
      <w:pPr>
        <w:numPr>
          <w:ilvl w:val="0"/>
          <w:numId w:val="66"/>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有功功率P、无功功率Q及视在功率S间的对应关系应符合如下公式：</w:t>
      </w:r>
    </w:p>
    <w:p w14:paraId="1F07843A">
      <w:pPr>
        <w:spacing w:line="360" w:lineRule="auto"/>
        <w:ind w:left="840" w:firstLine="42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S2≈P2+Q2</w:t>
      </w:r>
    </w:p>
    <w:p w14:paraId="7E08C593">
      <w:pPr>
        <w:numPr>
          <w:ilvl w:val="0"/>
          <w:numId w:val="66"/>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调试完毕应复原能耗计量装置与能耗数据采集器的连接；</w:t>
      </w:r>
    </w:p>
    <w:p w14:paraId="185A2E48">
      <w:pPr>
        <w:pStyle w:val="4"/>
        <w:bidi w:val="0"/>
        <w:rPr>
          <w:rFonts w:hint="eastAsia"/>
        </w:rPr>
      </w:pPr>
      <w:bookmarkStart w:id="298" w:name="_Toc296285119"/>
      <w:bookmarkStart w:id="299" w:name="_Toc15948"/>
      <w:bookmarkStart w:id="300" w:name="_Toc24581"/>
      <w:r>
        <w:rPr>
          <w:rFonts w:hint="eastAsia"/>
          <w:lang w:eastAsia="zh-CN"/>
        </w:rPr>
        <w:t>8.</w:t>
      </w:r>
      <w:r>
        <w:rPr>
          <w:rFonts w:hint="eastAsia"/>
        </w:rPr>
        <w:t>6.4分类分项调试</w:t>
      </w:r>
      <w:bookmarkEnd w:id="298"/>
      <w:bookmarkEnd w:id="299"/>
      <w:bookmarkEnd w:id="300"/>
      <w:r>
        <w:rPr>
          <w:rFonts w:hint="eastAsia"/>
        </w:rPr>
        <w:t xml:space="preserve"> </w:t>
      </w:r>
    </w:p>
    <w:p w14:paraId="2DA551A8">
      <w:pPr>
        <w:numPr>
          <w:ilvl w:val="0"/>
          <w:numId w:val="67"/>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按上文电耗数据分项表的分类方式，分别对各类能耗计量系统进行系统调试。其步骤及方法如下：</w:t>
      </w:r>
    </w:p>
    <w:p w14:paraId="7622A6B8">
      <w:pPr>
        <w:numPr>
          <w:ilvl w:val="0"/>
          <w:numId w:val="68"/>
        </w:num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全部开启能耗采集终端和</w:t>
      </w:r>
      <w:r>
        <w:rPr>
          <w:rFonts w:hint="eastAsia" w:ascii="微软雅黑 Light" w:hAnsi="微软雅黑 Light" w:cs="微软雅黑 Light"/>
          <w:sz w:val="21"/>
          <w:szCs w:val="21"/>
          <w:lang w:eastAsia="zh-CN"/>
        </w:rPr>
        <w:t>建筑能耗管理</w:t>
      </w:r>
      <w:r>
        <w:rPr>
          <w:rFonts w:hint="eastAsia" w:ascii="微软雅黑 Light" w:hAnsi="微软雅黑 Light" w:eastAsia="微软雅黑 Light" w:cs="微软雅黑 Light"/>
          <w:sz w:val="21"/>
          <w:szCs w:val="21"/>
        </w:rPr>
        <w:t>系统软件，显示被调试分类能耗相应的数据显示界面和数据列表；</w:t>
      </w:r>
    </w:p>
    <w:p w14:paraId="0D14D8EB">
      <w:pPr>
        <w:numPr>
          <w:ilvl w:val="0"/>
          <w:numId w:val="68"/>
        </w:num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按供能系统的规范和操作规程，开启同类用能负载，观察数据变化。</w:t>
      </w:r>
      <w:r>
        <w:rPr>
          <w:rFonts w:hint="eastAsia" w:ascii="微软雅黑 Light" w:hAnsi="微软雅黑 Light" w:cs="微软雅黑 Light"/>
          <w:sz w:val="21"/>
          <w:szCs w:val="21"/>
          <w:lang w:eastAsia="zh-CN"/>
        </w:rPr>
        <w:t>建筑能耗管理</w:t>
      </w:r>
      <w:r>
        <w:rPr>
          <w:rFonts w:hint="eastAsia" w:ascii="微软雅黑 Light" w:hAnsi="微软雅黑 Light" w:eastAsia="微软雅黑 Light" w:cs="微软雅黑 Light"/>
          <w:sz w:val="21"/>
          <w:szCs w:val="21"/>
        </w:rPr>
        <w:t>系统软件中分类、分项能耗统计数据应随能耗过程显示增量和总量。逐一核对能耗计量装置、数据采集点地址编码正确无误，各计量装置能耗盘面值与监管软件界面各类、各项数据统计值，其误差应不超过设计规定；</w:t>
      </w:r>
    </w:p>
    <w:p w14:paraId="5CC34FF8">
      <w:pPr>
        <w:numPr>
          <w:ilvl w:val="0"/>
          <w:numId w:val="67"/>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在分类、分项调试过程中，同时检查系统在线监测功能和报警功能，其性能应符合设计规定的要求和指标；</w:t>
      </w:r>
    </w:p>
    <w:p w14:paraId="48F2E481">
      <w:pPr>
        <w:pStyle w:val="4"/>
        <w:bidi w:val="0"/>
        <w:rPr>
          <w:rFonts w:hint="eastAsia"/>
        </w:rPr>
      </w:pPr>
      <w:bookmarkStart w:id="301" w:name="_Toc11369"/>
      <w:bookmarkStart w:id="302" w:name="_Toc296285120"/>
      <w:bookmarkStart w:id="303" w:name="_Toc9316"/>
      <w:r>
        <w:rPr>
          <w:rFonts w:hint="eastAsia"/>
          <w:lang w:eastAsia="zh-CN"/>
        </w:rPr>
        <w:t>8.</w:t>
      </w:r>
      <w:r>
        <w:rPr>
          <w:rFonts w:hint="eastAsia"/>
        </w:rPr>
        <w:t>6.5数据有效性核对</w:t>
      </w:r>
      <w:bookmarkEnd w:id="301"/>
      <w:bookmarkEnd w:id="302"/>
      <w:bookmarkEnd w:id="303"/>
    </w:p>
    <w:p w14:paraId="38AC4C94">
      <w:pPr>
        <w:numPr>
          <w:ilvl w:val="0"/>
          <w:numId w:val="69"/>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比对所有变压器高压侧计量电耗之和与低压侧计量电耗总量之和，其差值应在变压器合理损耗范围之内。比对时间≥1小时。根据变压器损耗的合理范围，可以判断变压器低压侧电能表采集的耗电数据是否准确；</w:t>
      </w:r>
    </w:p>
    <w:p w14:paraId="74CE5E8A">
      <w:pPr>
        <w:numPr>
          <w:ilvl w:val="0"/>
          <w:numId w:val="69"/>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比对变压器低压侧计量的电耗数据与其引出支路上所有电耗之和；</w:t>
      </w:r>
    </w:p>
    <w:p w14:paraId="346BDEAC">
      <w:pPr>
        <w:numPr>
          <w:ilvl w:val="0"/>
          <w:numId w:val="69"/>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应在正常用电时段进行。比对时间≥1小时。变压器低压侧计量的电耗数据应大于该变压器母线下引出的所有支路上计量的电耗之和。若支路上未全部安装电能计量装置，则可采用间隔10分钟读取支路上各电能计量装置计量数据，并测量该支路功率因数的办法，累计1小时内各支路耗电量总和，并与变压器低压侧电能计量装置计量数据比较；</w:t>
      </w:r>
    </w:p>
    <w:p w14:paraId="2E691BF2">
      <w:pPr>
        <w:numPr>
          <w:ilvl w:val="0"/>
          <w:numId w:val="69"/>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比对安装电能计量装置的各支路所带设备实测耗电量与各设备铭牌额定功率之和；</w:t>
      </w:r>
    </w:p>
    <w:p w14:paraId="62AA2779">
      <w:pPr>
        <w:numPr>
          <w:ilvl w:val="0"/>
          <w:numId w:val="69"/>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实测耗电量应≤各设备铭牌额定功率之和。比对时间应≥1小时。进行校验时，支路负载率应在50%以上。对安装电能计量装置的各支路，读数获得某一小时的电量Q，再调研该支路所带的第i个设备是否处于运行状态，校核如下公式是否满足：</w:t>
      </w:r>
      <w:r>
        <w:rPr>
          <w:rFonts w:hint="eastAsia" w:ascii="微软雅黑 Light" w:hAnsi="微软雅黑 Light" w:eastAsia="微软雅黑 Light" w:cs="微软雅黑 Light"/>
          <w:sz w:val="21"/>
          <w:szCs w:val="21"/>
        </w:rPr>
        <w:br w:type="textWrapping"/>
      </w:r>
      <w:r>
        <w:rPr>
          <w:rFonts w:hint="eastAsia" w:ascii="微软雅黑 Light" w:hAnsi="微软雅黑 Light" w:eastAsia="微软雅黑 Light" w:cs="微软雅黑 Light"/>
          <w:sz w:val="21"/>
          <w:szCs w:val="21"/>
        </w:rPr>
        <w:t xml:space="preserve">                         </w:t>
      </w:r>
      <w:r>
        <w:rPr>
          <w:rFonts w:hint="eastAsia" w:ascii="微软雅黑 Light" w:hAnsi="微软雅黑 Light" w:eastAsia="微软雅黑 Light" w:cs="微软雅黑 Light"/>
          <w:sz w:val="21"/>
          <w:szCs w:val="21"/>
        </w:rPr>
        <w:object>
          <v:shape id="_x0000_i1028" o:spt="75" type="#_x0000_t75" style="height:27pt;width:66pt;" o:ole="t" filled="f" o:preferrelative="t" stroked="f" coordsize="21600,21600">
            <v:path/>
            <v:fill on="f" focussize="0,0"/>
            <v:stroke on="f"/>
            <v:imagedata r:id="rId66" o:title=""/>
            <o:lock v:ext="edit" grouping="f" rotation="f" text="f" aspectratio="t"/>
            <w10:wrap type="none"/>
            <w10:anchorlock/>
          </v:shape>
          <o:OLEObject Type="Embed" ProgID="Equation.3" ShapeID="_x0000_i1028" DrawAspect="Content" ObjectID="_1468075728" r:id="rId65">
            <o:LockedField>false</o:LockedField>
          </o:OLEObject>
        </w:object>
      </w:r>
      <w:r>
        <w:rPr>
          <w:rFonts w:hint="eastAsia" w:ascii="微软雅黑 Light" w:hAnsi="微软雅黑 Light" w:eastAsia="微软雅黑 Light" w:cs="微软雅黑 Light"/>
          <w:sz w:val="21"/>
          <w:szCs w:val="21"/>
        </w:rPr>
        <w:br w:type="textWrapping"/>
      </w:r>
      <w:r>
        <w:rPr>
          <w:rFonts w:hint="eastAsia" w:ascii="微软雅黑 Light" w:hAnsi="微软雅黑 Light" w:eastAsia="微软雅黑 Light" w:cs="微软雅黑 Light"/>
          <w:sz w:val="21"/>
          <w:szCs w:val="21"/>
        </w:rPr>
        <w:t>其中，Wi——第i个设备铭牌额定功率；若该设备处于运行状态时Ti=1,否则Ti=0；</w:t>
      </w:r>
    </w:p>
    <w:p w14:paraId="760DA688">
      <w:pPr>
        <w:pStyle w:val="4"/>
        <w:bidi w:val="0"/>
        <w:rPr>
          <w:rFonts w:hint="eastAsia"/>
        </w:rPr>
      </w:pPr>
      <w:bookmarkStart w:id="304" w:name="_Toc27189"/>
      <w:bookmarkStart w:id="305" w:name="_Toc248948910"/>
      <w:bookmarkStart w:id="306" w:name="_Toc296285121"/>
      <w:bookmarkStart w:id="307" w:name="_Toc20578"/>
      <w:r>
        <w:rPr>
          <w:rFonts w:hint="eastAsia"/>
          <w:lang w:eastAsia="zh-CN"/>
        </w:rPr>
        <w:t>8.</w:t>
      </w:r>
      <w:r>
        <w:rPr>
          <w:rFonts w:hint="eastAsia"/>
        </w:rPr>
        <w:t>6.6成品保护措施</w:t>
      </w:r>
      <w:bookmarkEnd w:id="304"/>
      <w:bookmarkEnd w:id="305"/>
      <w:bookmarkEnd w:id="306"/>
      <w:bookmarkEnd w:id="307"/>
    </w:p>
    <w:p w14:paraId="286328F4">
      <w:pPr>
        <w:numPr>
          <w:ilvl w:val="0"/>
          <w:numId w:val="70"/>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施工人员要认真遵守现场成品保护制度，项目经理负责督促成品保护工作的落实，施工员负责组织实施；</w:t>
      </w:r>
    </w:p>
    <w:p w14:paraId="5E7BCE11">
      <w:pPr>
        <w:numPr>
          <w:ilvl w:val="0"/>
          <w:numId w:val="70"/>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现场应组织成品保护小组，对安装成品，半成品，设备等进行巡护，建立有效的交换班制度；</w:t>
      </w:r>
    </w:p>
    <w:p w14:paraId="6D7F897E">
      <w:pPr>
        <w:numPr>
          <w:ilvl w:val="0"/>
          <w:numId w:val="70"/>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设备一般在安装前一周内运送现场，并作开箱检查，设备开箱点件后对于易丢、易损部件应指定专人负责入库妥善保管，设备搬运时明露在外的表面应防止碰撞；</w:t>
      </w:r>
    </w:p>
    <w:p w14:paraId="5602CC67">
      <w:pPr>
        <w:numPr>
          <w:ilvl w:val="0"/>
          <w:numId w:val="70"/>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预埋电管及管口应采取监时封堵等措施，以免掉进杂物；</w:t>
      </w:r>
    </w:p>
    <w:p w14:paraId="6046475C">
      <w:pPr>
        <w:numPr>
          <w:ilvl w:val="0"/>
          <w:numId w:val="70"/>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安装好的管道、电气线路、设备应采取必要的防表面污染措施；</w:t>
      </w:r>
    </w:p>
    <w:p w14:paraId="3DC3A180">
      <w:pPr>
        <w:numPr>
          <w:ilvl w:val="0"/>
          <w:numId w:val="70"/>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配电柜、箱安装后应进行清理工作；</w:t>
      </w:r>
    </w:p>
    <w:p w14:paraId="5F9CFE29">
      <w:pPr>
        <w:numPr>
          <w:ilvl w:val="0"/>
          <w:numId w:val="70"/>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对成品有意损坏的将给予处罚；</w:t>
      </w:r>
    </w:p>
    <w:p w14:paraId="0549A52F">
      <w:pPr>
        <w:numPr>
          <w:ilvl w:val="0"/>
          <w:numId w:val="70"/>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设备的敞露口在中断安装期间必须加保护封盖。严禁非操作开动水泵、风机等设备；</w:t>
      </w:r>
    </w:p>
    <w:p w14:paraId="12D04074">
      <w:pPr>
        <w:numPr>
          <w:ilvl w:val="0"/>
          <w:numId w:val="70"/>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镀锌管道及风管，在施工制安时，应防止管道表面被砂石或其它硬物划伤，管子、管件要妥善保管，不得混淆和损坏；</w:t>
      </w:r>
    </w:p>
    <w:p w14:paraId="410137AC">
      <w:pPr>
        <w:pStyle w:val="4"/>
        <w:bidi w:val="0"/>
        <w:rPr>
          <w:rFonts w:hint="eastAsia"/>
        </w:rPr>
      </w:pPr>
      <w:bookmarkStart w:id="308" w:name="_Toc296285122"/>
      <w:bookmarkStart w:id="309" w:name="_Toc6873"/>
      <w:bookmarkStart w:id="310" w:name="_Toc10821"/>
      <w:bookmarkStart w:id="311" w:name="_Toc248948911"/>
      <w:r>
        <w:rPr>
          <w:rFonts w:hint="eastAsia"/>
          <w:lang w:eastAsia="zh-CN"/>
        </w:rPr>
        <w:t>8.</w:t>
      </w:r>
      <w:r>
        <w:rPr>
          <w:rFonts w:hint="eastAsia"/>
        </w:rPr>
        <w:t>6.7安全措施</w:t>
      </w:r>
      <w:bookmarkEnd w:id="308"/>
      <w:bookmarkEnd w:id="309"/>
      <w:bookmarkEnd w:id="310"/>
      <w:bookmarkEnd w:id="311"/>
    </w:p>
    <w:p w14:paraId="1F081325">
      <w:pPr>
        <w:spacing w:line="360" w:lineRule="auto"/>
        <w:ind w:firstLine="420" w:firstLineChars="200"/>
        <w:rPr>
          <w:rFonts w:hint="eastAsia" w:ascii="微软雅黑 Light" w:hAnsi="微软雅黑 Light" w:eastAsia="微软雅黑 Light" w:cs="微软雅黑 Light"/>
          <w:b/>
          <w:sz w:val="21"/>
          <w:szCs w:val="21"/>
        </w:rPr>
      </w:pPr>
      <w:r>
        <w:rPr>
          <w:rFonts w:hint="eastAsia" w:ascii="微软雅黑 Light" w:hAnsi="微软雅黑 Light" w:eastAsia="微软雅黑 Light" w:cs="微软雅黑 Light"/>
          <w:b/>
          <w:sz w:val="21"/>
          <w:szCs w:val="21"/>
        </w:rPr>
        <w:t>保证系统运行安全</w:t>
      </w:r>
    </w:p>
    <w:p w14:paraId="21AF6BF4">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在系统调试交接时，帮助业主建立系统的文档管理，将完整的完工图纸、设计文档、操作、维护手册、设备清单等保存完整，以便备查。</w:t>
      </w:r>
    </w:p>
    <w:p w14:paraId="18B21ED9">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保证在系统使用过程中，所产生记录保存的安全性，以便发生异常事故时备查。</w:t>
      </w:r>
    </w:p>
    <w:p w14:paraId="52D729E7">
      <w:pPr>
        <w:spacing w:line="360" w:lineRule="auto"/>
        <w:ind w:firstLine="420" w:firstLineChars="200"/>
        <w:rPr>
          <w:rFonts w:hint="eastAsia" w:ascii="微软雅黑 Light" w:hAnsi="微软雅黑 Light" w:eastAsia="微软雅黑 Light" w:cs="微软雅黑 Light"/>
          <w:b/>
          <w:sz w:val="21"/>
          <w:szCs w:val="21"/>
        </w:rPr>
      </w:pPr>
      <w:r>
        <w:rPr>
          <w:rFonts w:hint="eastAsia" w:ascii="微软雅黑 Light" w:hAnsi="微软雅黑 Light" w:eastAsia="微软雅黑 Light" w:cs="微软雅黑 Light"/>
          <w:b/>
          <w:sz w:val="21"/>
          <w:szCs w:val="21"/>
        </w:rPr>
        <w:t>保证施工实施安全</w:t>
      </w:r>
    </w:p>
    <w:p w14:paraId="7C1FDD5F">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施工人员持证上岗，进入施工现场前，进行安全生产教育，并在每次调度会上，都将安全生产放到议事日程上，做到处处不忘安全生产，时刻注意安全生产。</w:t>
      </w:r>
    </w:p>
    <w:p w14:paraId="41CDC6EE">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施工现场工作人员必须严格按照安全生产、文明施工的要求，积极推行施工现场的标准化管理，按施工组织设计，科学组织施工。</w:t>
      </w:r>
    </w:p>
    <w:p w14:paraId="045ED549">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按照施工总平面图设置临时设施，严禁侵占场内道路及安全防护等设施。</w:t>
      </w:r>
    </w:p>
    <w:p w14:paraId="12284E5F">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施工现场全体人员必须严格执行《建筑安装工程安全技术规程》和《建筑安装工人安全技术操作规程》。</w:t>
      </w:r>
    </w:p>
    <w:p w14:paraId="50F6DBA8">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施工人员应正确使用劳动保护用品，进入施工现场必须戴安全帽，高处作业必须拴安全带。严格执行操作规程和施工现场的规章制度，禁止违章指挥和违章作业。</w:t>
      </w:r>
    </w:p>
    <w:p w14:paraId="4C02C305">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施工用电、现场临时电线路、设施的安装和使用必须按照建设部颁发的《施工临时用电安全技术防范》（JGJ46-88）规定操作，严禁私自拉电或带电作业。</w:t>
      </w:r>
    </w:p>
    <w:p w14:paraId="6D64E6F2">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使用电气设备、电动工具应有可靠保护接地，随身携带和使用的工具应搁置于顺手稳妥的地方，防发生事故伤人。</w:t>
      </w:r>
    </w:p>
    <w:p w14:paraId="0CA262DA">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高处作业必须设置防护措施，并符合JGJ80-91《建筑施工高处作业安全技术规范》的要求。</w:t>
      </w:r>
    </w:p>
    <w:p w14:paraId="4395657B">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施工用的高凳、梯子、人字梯、高架车等，在使用前必须认真检查其牢固性。梯外端应采取防滑措施，并不得垫高使用。在通道处使用梯子，应有人监护或设围栏。</w:t>
      </w:r>
    </w:p>
    <w:p w14:paraId="3471DEFB">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人字梯距梯脚40～60cm处要设拉绳，施工中，不准站在梯子最上一层工作，且严禁在这上面放工具和材料。</w:t>
      </w:r>
    </w:p>
    <w:p w14:paraId="245C0FB9">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吊装作业时，机具、吊索必须先经严格检查，不合格的禁用，防止发生事故。</w:t>
      </w:r>
    </w:p>
    <w:p w14:paraId="34E4C77C">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立杆时，应有统一指挥，紧密配合，防止杆身摆动，在杆上作业时，应系好安全绳。</w:t>
      </w:r>
    </w:p>
    <w:p w14:paraId="1AD08CEF">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在竖井内作业，严禁随意蹬踩电缆或电缆支架；在井道内作业，要有充分照明；安装电梯中的线缆时，若有相邻电梯，应加倍小心注意相邻电梯的状态。</w:t>
      </w:r>
    </w:p>
    <w:p w14:paraId="39BA5709">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遇到不可抗力的因素（如暴风、雷雨），影响某些作业施工安全，按有关规定办理停止作业手续，以保障人身、设备等安全。</w:t>
      </w:r>
    </w:p>
    <w:p w14:paraId="4BD3995E">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当发生安全事故时，由安全生产领导小组负责查原因，提出改进措施，上报项目经理，由项目经理与有关方面协商处理；发生重大安全事故</w:t>
      </w:r>
      <w:r>
        <w:rPr>
          <w:rFonts w:hint="eastAsia" w:ascii="微软雅黑 Light" w:hAnsi="微软雅黑 Light" w:eastAsia="微软雅黑 Light" w:cs="微软雅黑 Light"/>
          <w:sz w:val="21"/>
          <w:szCs w:val="21"/>
        </w:rPr>
        <w:drawing>
          <wp:anchor distT="0" distB="0" distL="114300" distR="114300" simplePos="0" relativeHeight="251659264" behindDoc="1" locked="1" layoutInCell="1" allowOverlap="1">
            <wp:simplePos x="0" y="0"/>
            <wp:positionH relativeFrom="column">
              <wp:posOffset>4635500</wp:posOffset>
            </wp:positionH>
            <wp:positionV relativeFrom="paragraph">
              <wp:posOffset>8864600</wp:posOffset>
            </wp:positionV>
            <wp:extent cx="482600" cy="469900"/>
            <wp:effectExtent l="0" t="0" r="12700" b="6350"/>
            <wp:wrapNone/>
            <wp:docPr id="1" name="图片 2"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38"/>
                    <pic:cNvPicPr>
                      <a:picLocks noChangeAspect="1"/>
                    </pic:cNvPicPr>
                  </pic:nvPicPr>
                  <pic:blipFill>
                    <a:blip r:embed="rId67"/>
                    <a:stretch>
                      <a:fillRect/>
                    </a:stretch>
                  </pic:blipFill>
                  <pic:spPr>
                    <a:xfrm>
                      <a:off x="0" y="0"/>
                      <a:ext cx="482600" cy="469900"/>
                    </a:xfrm>
                    <a:prstGeom prst="rect">
                      <a:avLst/>
                    </a:prstGeom>
                    <a:noFill/>
                    <a:ln>
                      <a:noFill/>
                    </a:ln>
                  </pic:spPr>
                </pic:pic>
              </a:graphicData>
            </a:graphic>
          </wp:anchor>
        </w:drawing>
      </w:r>
      <w:r>
        <w:rPr>
          <w:rFonts w:hint="eastAsia" w:ascii="微软雅黑 Light" w:hAnsi="微软雅黑 Light" w:eastAsia="微软雅黑 Light" w:cs="微软雅黑 Light"/>
          <w:sz w:val="21"/>
          <w:szCs w:val="21"/>
        </w:rPr>
        <w:t>时，公司应立即报告有关部门和业主，按政府有关规定处理，做到四不放过，即事故原因不明不放过，事故不查清责任不放过，事故不吸取教训不放过，事故不采取措施不放过。</w:t>
      </w:r>
    </w:p>
    <w:p w14:paraId="690F1062">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安全生产领导小组负责现场施工技术安全的检查和督促工作，并做好记录。</w:t>
      </w:r>
    </w:p>
    <w:p w14:paraId="24759ACE">
      <w:pPr>
        <w:pStyle w:val="4"/>
        <w:bidi w:val="0"/>
        <w:rPr>
          <w:rFonts w:hint="eastAsia"/>
        </w:rPr>
      </w:pPr>
      <w:bookmarkStart w:id="312" w:name="_Toc4612"/>
      <w:bookmarkStart w:id="313" w:name="_Toc248948912"/>
      <w:bookmarkStart w:id="314" w:name="_Toc22774"/>
      <w:bookmarkStart w:id="315" w:name="_Toc296285123"/>
      <w:r>
        <w:rPr>
          <w:rFonts w:hint="eastAsia"/>
          <w:lang w:eastAsia="zh-CN"/>
        </w:rPr>
        <w:t>8.</w:t>
      </w:r>
      <w:r>
        <w:rPr>
          <w:rFonts w:hint="eastAsia"/>
        </w:rPr>
        <w:t>6.8安全文明施工管理措施</w:t>
      </w:r>
      <w:bookmarkEnd w:id="312"/>
      <w:bookmarkEnd w:id="313"/>
      <w:bookmarkEnd w:id="314"/>
      <w:bookmarkEnd w:id="315"/>
    </w:p>
    <w:p w14:paraId="53DBEDDB">
      <w:pPr>
        <w:numPr>
          <w:ilvl w:val="0"/>
          <w:numId w:val="71"/>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作好职工的入场安全教育，遵守现场的有关安全规章制度，施工负责人在交待生产任务的同时，必须交待安全规章制度和措施，安全交底单应有交底人、被交底人的签字，以铭刻在心；</w:t>
      </w:r>
    </w:p>
    <w:p w14:paraId="22CF7A0C">
      <w:pPr>
        <w:numPr>
          <w:ilvl w:val="0"/>
          <w:numId w:val="71"/>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生产作业前应将操作使用的各种设备机具，先检查、后使用，不符合要求者严禁使用，作业后应妥善收拾，不留隐患；</w:t>
      </w:r>
    </w:p>
    <w:p w14:paraId="34C19581">
      <w:pPr>
        <w:numPr>
          <w:ilvl w:val="0"/>
          <w:numId w:val="71"/>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drawing>
          <wp:anchor distT="0" distB="0" distL="114300" distR="114300" simplePos="0" relativeHeight="251660288" behindDoc="1" locked="1" layoutInCell="1" allowOverlap="1">
            <wp:simplePos x="0" y="0"/>
            <wp:positionH relativeFrom="column">
              <wp:posOffset>4140200</wp:posOffset>
            </wp:positionH>
            <wp:positionV relativeFrom="paragraph">
              <wp:posOffset>8331200</wp:posOffset>
            </wp:positionV>
            <wp:extent cx="533400" cy="508000"/>
            <wp:effectExtent l="0" t="0" r="0" b="6350"/>
            <wp:wrapNone/>
            <wp:docPr id="2" name="图片 3"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38"/>
                    <pic:cNvPicPr>
                      <a:picLocks noChangeAspect="1"/>
                    </pic:cNvPicPr>
                  </pic:nvPicPr>
                  <pic:blipFill>
                    <a:blip r:embed="rId67"/>
                    <a:stretch>
                      <a:fillRect/>
                    </a:stretch>
                  </pic:blipFill>
                  <pic:spPr>
                    <a:xfrm>
                      <a:off x="0" y="0"/>
                      <a:ext cx="533400" cy="508000"/>
                    </a:xfrm>
                    <a:prstGeom prst="rect">
                      <a:avLst/>
                    </a:prstGeom>
                    <a:noFill/>
                    <a:ln>
                      <a:noFill/>
                    </a:ln>
                  </pic:spPr>
                </pic:pic>
              </a:graphicData>
            </a:graphic>
          </wp:anchor>
        </w:drawing>
      </w:r>
      <w:r>
        <w:rPr>
          <w:rFonts w:hint="eastAsia" w:ascii="微软雅黑 Light" w:hAnsi="微软雅黑 Light" w:eastAsia="微软雅黑 Light" w:cs="微软雅黑 Light"/>
          <w:sz w:val="21"/>
          <w:szCs w:val="21"/>
        </w:rPr>
        <w:t>在安装配合施工的高峰阶段要专人定点监督安全生产，本着“一监、二帮、三促进”的精神防患于未然；</w:t>
      </w:r>
    </w:p>
    <w:p w14:paraId="1A0A5A1C">
      <w:pPr>
        <w:numPr>
          <w:ilvl w:val="0"/>
          <w:numId w:val="71"/>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专业安全检查与班组自检相结合，互相提醒安全生产，做到个人不违章，班组无损伤，工地无工伤，保障安全生产；</w:t>
      </w:r>
    </w:p>
    <w:p w14:paraId="7764B72B">
      <w:pPr>
        <w:numPr>
          <w:ilvl w:val="0"/>
          <w:numId w:val="71"/>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施工现场坚持使用“安全三宝”，发现不安全因素、隐患，坚决及时纠正；</w:t>
      </w:r>
    </w:p>
    <w:p w14:paraId="19430925">
      <w:pPr>
        <w:numPr>
          <w:ilvl w:val="0"/>
          <w:numId w:val="71"/>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施工中做到文明施工，爱护现场各种设施，人人自觉排除不安全因素，爱护自己、爱护别人。不允许乱抛物体，讲卫生，创造现场文明生产的好环境；</w:t>
      </w:r>
    </w:p>
    <w:p w14:paraId="5654CFA7">
      <w:pPr>
        <w:numPr>
          <w:ilvl w:val="0"/>
          <w:numId w:val="71"/>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每月末，由单位领导带队，对本工程安全生产作全面检查，定出下月具体安全生产措施，确保安全施工；</w:t>
      </w:r>
    </w:p>
    <w:p w14:paraId="0A71AA8D">
      <w:pPr>
        <w:numPr>
          <w:ilvl w:val="0"/>
          <w:numId w:val="71"/>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为了使施工对周围环境的噪声影响降至最低；</w:t>
      </w:r>
    </w:p>
    <w:p w14:paraId="7E519DC7">
      <w:pPr>
        <w:numPr>
          <w:ilvl w:val="0"/>
          <w:numId w:val="71"/>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施工人员必须遵守业主制定的有关施工现场管理制度；</w:t>
      </w:r>
    </w:p>
    <w:p w14:paraId="062409CE">
      <w:pPr>
        <w:numPr>
          <w:ilvl w:val="0"/>
          <w:numId w:val="71"/>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注意施工现场环境卫生，严禁在施工现场吸烟和用火；</w:t>
      </w:r>
    </w:p>
    <w:p w14:paraId="34EF9330">
      <w:pPr>
        <w:numPr>
          <w:ilvl w:val="0"/>
          <w:numId w:val="71"/>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施工人员在工地期间不许打架、喝酒、泡工等；</w:t>
      </w:r>
    </w:p>
    <w:p w14:paraId="3712E7ED">
      <w:pPr>
        <w:numPr>
          <w:ilvl w:val="0"/>
          <w:numId w:val="71"/>
        </w:numPr>
        <w:spacing w:line="360" w:lineRule="auto"/>
        <w:ind w:left="845"/>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施工中的废弃物要及时打扫，干一层清一层，做到活完场清，保持现场整齐、清洁、道路畅通；</w:t>
      </w:r>
    </w:p>
    <w:p w14:paraId="6637A895">
      <w:pPr>
        <w:pStyle w:val="3"/>
        <w:bidi w:val="0"/>
        <w:rPr>
          <w:rFonts w:hint="eastAsia"/>
        </w:rPr>
      </w:pPr>
      <w:bookmarkStart w:id="316" w:name="_Toc31660"/>
      <w:bookmarkStart w:id="317" w:name="_Toc22021"/>
      <w:bookmarkStart w:id="318" w:name="_Toc312692261"/>
      <w:bookmarkStart w:id="319" w:name="_Toc296285124"/>
      <w:r>
        <w:rPr>
          <w:rFonts w:hint="eastAsia"/>
          <w:lang w:eastAsia="zh-CN"/>
        </w:rPr>
        <w:t>8.</w:t>
      </w:r>
      <w:r>
        <w:rPr>
          <w:rFonts w:hint="eastAsia"/>
        </w:rPr>
        <w:t>7 施工质量控制</w:t>
      </w:r>
      <w:bookmarkEnd w:id="316"/>
      <w:bookmarkEnd w:id="317"/>
      <w:bookmarkEnd w:id="318"/>
      <w:bookmarkEnd w:id="319"/>
    </w:p>
    <w:p w14:paraId="4AF4AB11">
      <w:pPr>
        <w:pStyle w:val="4"/>
        <w:bidi w:val="0"/>
        <w:rPr>
          <w:rFonts w:hint="eastAsia"/>
        </w:rPr>
      </w:pPr>
      <w:bookmarkStart w:id="320" w:name="_Toc242848324"/>
      <w:bookmarkStart w:id="321" w:name="_Toc296285125"/>
      <w:bookmarkStart w:id="322" w:name="_Toc248948914"/>
      <w:bookmarkStart w:id="323" w:name="_Toc18657"/>
      <w:bookmarkStart w:id="324" w:name="_Toc20972"/>
      <w:r>
        <w:rPr>
          <w:rFonts w:hint="eastAsia"/>
          <w:lang w:eastAsia="zh-CN"/>
        </w:rPr>
        <w:t>8.</w:t>
      </w:r>
      <w:r>
        <w:rPr>
          <w:rFonts w:hint="eastAsia"/>
        </w:rPr>
        <w:t>7.1质量保证机构，强化工程质量管理</w:t>
      </w:r>
      <w:bookmarkEnd w:id="320"/>
      <w:bookmarkEnd w:id="321"/>
      <w:bookmarkEnd w:id="322"/>
      <w:bookmarkEnd w:id="323"/>
      <w:bookmarkEnd w:id="324"/>
    </w:p>
    <w:p w14:paraId="61425A0C">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坚持“质量第一，用户至上”的基本原则，确保本工程质量达到优良，我们将在工程实施的全过程进行严格的质量监控，由质量监督工程师深入现场，使工作质量始终处于有效的监督和控制状态。</w:t>
      </w:r>
    </w:p>
    <w:p w14:paraId="5950B060">
      <w:pPr>
        <w:pStyle w:val="4"/>
        <w:bidi w:val="0"/>
        <w:rPr>
          <w:rFonts w:hint="eastAsia"/>
        </w:rPr>
      </w:pPr>
      <w:bookmarkStart w:id="325" w:name="_Toc21367"/>
      <w:bookmarkStart w:id="326" w:name="_Toc248948915"/>
      <w:bookmarkStart w:id="327" w:name="_Toc296285126"/>
      <w:bookmarkStart w:id="328" w:name="_Toc242848325"/>
      <w:bookmarkStart w:id="329" w:name="_Toc25060"/>
      <w:r>
        <w:rPr>
          <w:rFonts w:hint="eastAsia"/>
          <w:lang w:val="en-US" w:eastAsia="zh-CN"/>
        </w:rPr>
        <w:t>8</w:t>
      </w:r>
      <w:r>
        <w:rPr>
          <w:rFonts w:hint="eastAsia"/>
        </w:rPr>
        <w:t>.7.2项目部质量管理工作，从提高人员素质人手</w:t>
      </w:r>
      <w:bookmarkEnd w:id="325"/>
      <w:bookmarkEnd w:id="326"/>
      <w:bookmarkEnd w:id="327"/>
      <w:bookmarkEnd w:id="328"/>
      <w:bookmarkEnd w:id="329"/>
    </w:p>
    <w:p w14:paraId="699951EC">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建立由项目经理、安全生产工程师、质量监督工程师、施工队组成的工地质量管理体系。做好宣传教育工作，树立质量第一的观念，提高职业道德水平，开展专业技术培训，特殊工种人员持证上岗，以工作质量保证工序质量，保证工程质量。</w:t>
      </w:r>
    </w:p>
    <w:p w14:paraId="548D42FF">
      <w:pPr>
        <w:pStyle w:val="4"/>
        <w:bidi w:val="0"/>
        <w:rPr>
          <w:rFonts w:hint="eastAsia"/>
        </w:rPr>
      </w:pPr>
      <w:bookmarkStart w:id="330" w:name="_Toc296285127"/>
      <w:bookmarkStart w:id="331" w:name="_Toc248948916"/>
      <w:bookmarkStart w:id="332" w:name="_Toc29445"/>
      <w:bookmarkStart w:id="333" w:name="_Toc242848326"/>
      <w:bookmarkStart w:id="334" w:name="_Toc18466"/>
      <w:r>
        <w:rPr>
          <w:rFonts w:hint="eastAsia"/>
          <w:lang w:val="en-US" w:eastAsia="zh-CN"/>
        </w:rPr>
        <w:t>8</w:t>
      </w:r>
      <w:r>
        <w:rPr>
          <w:rFonts w:hint="eastAsia"/>
        </w:rPr>
        <w:t>.7.3严把物料进货关，确保施工机具的正常使用</w:t>
      </w:r>
      <w:bookmarkEnd w:id="330"/>
      <w:bookmarkEnd w:id="331"/>
      <w:bookmarkEnd w:id="332"/>
      <w:bookmarkEnd w:id="333"/>
      <w:bookmarkEnd w:id="334"/>
    </w:p>
    <w:p w14:paraId="78E2C523">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对工程所需材料的质量进行严格的检查和控制。材料选择必须按施工图纸和材料明细表所列材料要求标准选择材料，根据建设方要求提供材料样板，待建设方确认后才进行采购。所有进场材料必须有产品合格证或质量证明，对设备进行开箱检查和验收。</w:t>
      </w:r>
    </w:p>
    <w:p w14:paraId="64D7FE3C">
      <w:pPr>
        <w:pStyle w:val="4"/>
        <w:bidi w:val="0"/>
        <w:rPr>
          <w:rFonts w:hint="eastAsia"/>
        </w:rPr>
      </w:pPr>
      <w:bookmarkStart w:id="335" w:name="_Toc248948917"/>
      <w:bookmarkStart w:id="336" w:name="_Toc242848327"/>
      <w:bookmarkStart w:id="337" w:name="_Toc296285128"/>
      <w:bookmarkStart w:id="338" w:name="_Toc11180"/>
      <w:bookmarkStart w:id="339" w:name="_Toc22615"/>
      <w:r>
        <w:rPr>
          <w:rFonts w:hint="eastAsia"/>
          <w:lang w:val="en-US" w:eastAsia="zh-CN"/>
        </w:rPr>
        <w:t>8</w:t>
      </w:r>
      <w:r>
        <w:rPr>
          <w:rFonts w:hint="eastAsia"/>
        </w:rPr>
        <w:t>.7.4优化施工方法，达到预防为主的目的</w:t>
      </w:r>
      <w:bookmarkEnd w:id="335"/>
      <w:bookmarkEnd w:id="336"/>
      <w:bookmarkEnd w:id="337"/>
      <w:bookmarkEnd w:id="338"/>
      <w:bookmarkEnd w:id="339"/>
    </w:p>
    <w:p w14:paraId="432179B0">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精心制定施工方案，做到切合工程实际，解决施工难题，把常见的质量通病和事故按预定的目标进行控制，到预防为主的目的。</w:t>
      </w:r>
    </w:p>
    <w:p w14:paraId="6CE2267B">
      <w:pPr>
        <w:pStyle w:val="4"/>
        <w:bidi w:val="0"/>
        <w:rPr>
          <w:rFonts w:hint="eastAsia"/>
        </w:rPr>
      </w:pPr>
      <w:bookmarkStart w:id="340" w:name="_Toc5815"/>
      <w:bookmarkStart w:id="341" w:name="_Toc248948918"/>
      <w:bookmarkStart w:id="342" w:name="_Toc296285129"/>
      <w:bookmarkStart w:id="343" w:name="_Toc29727"/>
      <w:bookmarkStart w:id="344" w:name="_Toc242848328"/>
      <w:r>
        <w:rPr>
          <w:rFonts w:hint="eastAsia"/>
          <w:lang w:val="en-US" w:eastAsia="zh-CN"/>
        </w:rPr>
        <w:t>8</w:t>
      </w:r>
      <w:r>
        <w:rPr>
          <w:rFonts w:hint="eastAsia"/>
        </w:rPr>
        <w:t>.7.5加强工序质量检查，做好成品保护工作</w:t>
      </w:r>
      <w:bookmarkEnd w:id="340"/>
      <w:bookmarkEnd w:id="341"/>
      <w:bookmarkEnd w:id="342"/>
      <w:bookmarkEnd w:id="343"/>
      <w:bookmarkEnd w:id="344"/>
    </w:p>
    <w:p w14:paraId="3D68ED86">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首先认真进行施工图纸的会审工作，明确技术要求和质量标准。在此基础上做好质量技术交底。在施工过程中，加强工序质量的三级检查制度，层层把关。并严格进行质量等级检评。所有隐蔽工程必须经建设单位及监理验收签字认可，并做好记录后方可组织下道工序的施工。针对关键部位或薄弱环节设置控制点，认真执行工序交接记录和验收制度。施工中，合理安排施工程序对已完成的成品制定保护措施。</w:t>
      </w:r>
    </w:p>
    <w:p w14:paraId="5790954C">
      <w:pPr>
        <w:pStyle w:val="3"/>
        <w:bidi w:val="0"/>
        <w:rPr>
          <w:rFonts w:hint="eastAsia"/>
        </w:rPr>
      </w:pPr>
      <w:bookmarkStart w:id="345" w:name="_Toc10052"/>
      <w:bookmarkStart w:id="346" w:name="_Toc296285130"/>
      <w:bookmarkStart w:id="347" w:name="_Toc312692262"/>
      <w:bookmarkStart w:id="348" w:name="_Toc23170"/>
      <w:r>
        <w:rPr>
          <w:rFonts w:hint="eastAsia"/>
          <w:lang w:val="en-US" w:eastAsia="zh-CN"/>
        </w:rPr>
        <w:t>8</w:t>
      </w:r>
      <w:r>
        <w:rPr>
          <w:rFonts w:hint="eastAsia"/>
        </w:rPr>
        <w:t>.8 项目管理</w:t>
      </w:r>
      <w:bookmarkEnd w:id="345"/>
      <w:bookmarkEnd w:id="346"/>
      <w:bookmarkEnd w:id="347"/>
      <w:bookmarkEnd w:id="348"/>
    </w:p>
    <w:p w14:paraId="08A96B30">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在项目实施过程中，一方面需要与建设单位、各个专业施工单位进行协调，另一方面还要制定出最佳的工程进度计划，控制进度、监督质量、搞好安全生产。在不同工程阶段下资源的配置、组织与协调、质量安全生产是我公司在项目管理中的重点：</w:t>
      </w:r>
    </w:p>
    <w:p w14:paraId="43D1B4F3">
      <w:pPr>
        <w:numPr>
          <w:ilvl w:val="0"/>
          <w:numId w:val="72"/>
        </w:numPr>
        <w:spacing w:line="360" w:lineRule="auto"/>
        <w:rPr>
          <w:rFonts w:hint="eastAsia" w:ascii="微软雅黑 Light" w:hAnsi="微软雅黑 Light" w:eastAsia="微软雅黑 Light" w:cs="微软雅黑 Light"/>
          <w:snapToGrid w:val="0"/>
          <w:kern w:val="0"/>
          <w:sz w:val="21"/>
          <w:szCs w:val="21"/>
        </w:rPr>
      </w:pPr>
      <w:r>
        <w:rPr>
          <w:rFonts w:hint="eastAsia" w:ascii="微软雅黑 Light" w:hAnsi="微软雅黑 Light" w:eastAsia="微软雅黑 Light" w:cs="微软雅黑 Light"/>
          <w:snapToGrid w:val="0"/>
          <w:kern w:val="0"/>
          <w:sz w:val="21"/>
          <w:szCs w:val="21"/>
        </w:rPr>
        <w:t>人力、财力、物力资源的调配</w:t>
      </w:r>
    </w:p>
    <w:p w14:paraId="25B06094">
      <w:pPr>
        <w:numPr>
          <w:ilvl w:val="0"/>
          <w:numId w:val="72"/>
        </w:numPr>
        <w:spacing w:line="360" w:lineRule="auto"/>
        <w:rPr>
          <w:rFonts w:hint="eastAsia" w:ascii="微软雅黑 Light" w:hAnsi="微软雅黑 Light" w:eastAsia="微软雅黑 Light" w:cs="微软雅黑 Light"/>
          <w:snapToGrid w:val="0"/>
          <w:kern w:val="0"/>
          <w:sz w:val="21"/>
          <w:szCs w:val="21"/>
        </w:rPr>
      </w:pPr>
      <w:r>
        <w:rPr>
          <w:rFonts w:hint="eastAsia" w:ascii="微软雅黑 Light" w:hAnsi="微软雅黑 Light" w:eastAsia="微软雅黑 Light" w:cs="微软雅黑 Light"/>
          <w:snapToGrid w:val="0"/>
          <w:kern w:val="0"/>
          <w:sz w:val="21"/>
          <w:szCs w:val="21"/>
        </w:rPr>
        <w:t>设计、施工、服务环节的进度监管</w:t>
      </w:r>
    </w:p>
    <w:p w14:paraId="77D739E8">
      <w:pPr>
        <w:numPr>
          <w:ilvl w:val="0"/>
          <w:numId w:val="72"/>
        </w:numPr>
        <w:spacing w:line="360" w:lineRule="auto"/>
        <w:rPr>
          <w:rFonts w:hint="eastAsia" w:ascii="微软雅黑 Light" w:hAnsi="微软雅黑 Light" w:eastAsia="微软雅黑 Light" w:cs="微软雅黑 Light"/>
          <w:snapToGrid w:val="0"/>
          <w:kern w:val="0"/>
          <w:sz w:val="21"/>
          <w:szCs w:val="21"/>
        </w:rPr>
      </w:pPr>
      <w:r>
        <w:rPr>
          <w:rFonts w:hint="eastAsia" w:ascii="微软雅黑 Light" w:hAnsi="微软雅黑 Light" w:eastAsia="微软雅黑 Light" w:cs="微软雅黑 Light"/>
          <w:snapToGrid w:val="0"/>
          <w:kern w:val="0"/>
          <w:sz w:val="21"/>
          <w:szCs w:val="21"/>
        </w:rPr>
        <w:t>设计、施工、服务环节的质量监管</w:t>
      </w:r>
    </w:p>
    <w:p w14:paraId="1C337736">
      <w:pPr>
        <w:numPr>
          <w:ilvl w:val="0"/>
          <w:numId w:val="72"/>
        </w:numPr>
        <w:spacing w:line="360" w:lineRule="auto"/>
        <w:rPr>
          <w:rFonts w:hint="eastAsia" w:ascii="微软雅黑 Light" w:hAnsi="微软雅黑 Light" w:eastAsia="微软雅黑 Light" w:cs="微软雅黑 Light"/>
          <w:snapToGrid w:val="0"/>
          <w:kern w:val="0"/>
          <w:sz w:val="21"/>
          <w:szCs w:val="21"/>
        </w:rPr>
      </w:pPr>
      <w:r>
        <w:rPr>
          <w:rFonts w:hint="eastAsia" w:ascii="微软雅黑 Light" w:hAnsi="微软雅黑 Light" w:eastAsia="微软雅黑 Light" w:cs="微软雅黑 Light"/>
          <w:snapToGrid w:val="0"/>
          <w:kern w:val="0"/>
          <w:sz w:val="21"/>
          <w:szCs w:val="21"/>
        </w:rPr>
        <w:t>设计、施工、服务环节的安全监管</w:t>
      </w:r>
    </w:p>
    <w:p w14:paraId="5889A951">
      <w:pPr>
        <w:numPr>
          <w:ilvl w:val="0"/>
          <w:numId w:val="72"/>
        </w:numPr>
        <w:spacing w:line="360" w:lineRule="auto"/>
        <w:rPr>
          <w:rFonts w:hint="eastAsia" w:ascii="微软雅黑 Light" w:hAnsi="微软雅黑 Light" w:eastAsia="微软雅黑 Light" w:cs="微软雅黑 Light"/>
          <w:snapToGrid w:val="0"/>
          <w:kern w:val="0"/>
          <w:sz w:val="21"/>
          <w:szCs w:val="21"/>
        </w:rPr>
      </w:pPr>
      <w:r>
        <w:rPr>
          <w:rFonts w:hint="eastAsia" w:ascii="微软雅黑 Light" w:hAnsi="微软雅黑 Light" w:eastAsia="微软雅黑 Light" w:cs="微软雅黑 Light"/>
          <w:snapToGrid w:val="0"/>
          <w:kern w:val="0"/>
          <w:sz w:val="21"/>
          <w:szCs w:val="21"/>
        </w:rPr>
        <w:t>对遵守法律法规的管理</w:t>
      </w:r>
      <w:bookmarkStart w:id="349" w:name="_Toc231044541"/>
      <w:bookmarkStart w:id="350" w:name="_Toc179561981"/>
      <w:bookmarkStart w:id="351" w:name="_Toc242848330"/>
      <w:bookmarkStart w:id="352" w:name="_Toc179959084"/>
      <w:bookmarkStart w:id="353" w:name="_Toc178760386"/>
      <w:bookmarkStart w:id="354" w:name="_Toc179959815"/>
    </w:p>
    <w:p w14:paraId="129FF4BE">
      <w:pPr>
        <w:pStyle w:val="4"/>
        <w:bidi w:val="0"/>
        <w:rPr>
          <w:rFonts w:hint="eastAsia"/>
        </w:rPr>
      </w:pPr>
      <w:bookmarkStart w:id="355" w:name="_Toc296285131"/>
      <w:bookmarkStart w:id="356" w:name="_Toc23894"/>
      <w:bookmarkStart w:id="357" w:name="_Toc3713"/>
      <w:r>
        <w:rPr>
          <w:rFonts w:hint="eastAsia"/>
          <w:lang w:val="en-US" w:eastAsia="zh-CN"/>
        </w:rPr>
        <w:t>8</w:t>
      </w:r>
      <w:r>
        <w:rPr>
          <w:rFonts w:hint="eastAsia"/>
        </w:rPr>
        <w:t>.8.1设计管理</w:t>
      </w:r>
      <w:bookmarkEnd w:id="349"/>
      <w:bookmarkEnd w:id="350"/>
      <w:bookmarkEnd w:id="351"/>
      <w:bookmarkEnd w:id="352"/>
      <w:bookmarkEnd w:id="353"/>
      <w:bookmarkEnd w:id="354"/>
      <w:bookmarkEnd w:id="355"/>
      <w:bookmarkEnd w:id="356"/>
      <w:bookmarkEnd w:id="357"/>
    </w:p>
    <w:p w14:paraId="7F54618E">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工程的深化设计好与坏是取得一个优良工程的前提。通过与建设单位、设计单位的沟通，对用户需求进行分析，理解设计单位的设计思想、了解用户的实际需求，才能做出用户满意的深化设计方案。我公司将派出富有经验的专业技术工程师小组来完成深化设计。在弱电系统工程设计中，坚决执行和贯彻国家、行业的技术标准及规范，遵照工程标书的要求进行深化设计：</w:t>
      </w:r>
    </w:p>
    <w:p w14:paraId="32FD05E9">
      <w:pPr>
        <w:numPr>
          <w:ilvl w:val="0"/>
          <w:numId w:val="73"/>
        </w:numPr>
        <w:spacing w:line="360" w:lineRule="auto"/>
        <w:rPr>
          <w:rFonts w:hint="eastAsia" w:ascii="微软雅黑 Light" w:hAnsi="微软雅黑 Light" w:eastAsia="微软雅黑 Light" w:cs="微软雅黑 Light"/>
          <w:snapToGrid w:val="0"/>
          <w:kern w:val="0"/>
          <w:sz w:val="21"/>
          <w:szCs w:val="21"/>
        </w:rPr>
      </w:pPr>
      <w:r>
        <w:rPr>
          <w:rFonts w:hint="eastAsia" w:ascii="微软雅黑 Light" w:hAnsi="微软雅黑 Light" w:eastAsia="微软雅黑 Light" w:cs="微软雅黑 Light"/>
          <w:snapToGrid w:val="0"/>
          <w:kern w:val="0"/>
          <w:sz w:val="21"/>
          <w:szCs w:val="21"/>
        </w:rPr>
        <w:t>技术标准和规范的建档</w:t>
      </w:r>
    </w:p>
    <w:p w14:paraId="7F577E3F">
      <w:pPr>
        <w:numPr>
          <w:ilvl w:val="0"/>
          <w:numId w:val="73"/>
        </w:numPr>
        <w:spacing w:line="360" w:lineRule="auto"/>
        <w:rPr>
          <w:rFonts w:hint="eastAsia" w:ascii="微软雅黑 Light" w:hAnsi="微软雅黑 Light" w:eastAsia="微软雅黑 Light" w:cs="微软雅黑 Light"/>
          <w:snapToGrid w:val="0"/>
          <w:kern w:val="0"/>
          <w:sz w:val="21"/>
          <w:szCs w:val="21"/>
        </w:rPr>
      </w:pPr>
      <w:r>
        <w:rPr>
          <w:rFonts w:hint="eastAsia" w:ascii="微软雅黑 Light" w:hAnsi="微软雅黑 Light" w:eastAsia="微软雅黑 Light" w:cs="微软雅黑 Light"/>
          <w:snapToGrid w:val="0"/>
          <w:kern w:val="0"/>
          <w:sz w:val="21"/>
          <w:szCs w:val="21"/>
        </w:rPr>
        <w:t>系统设计说明文档</w:t>
      </w:r>
    </w:p>
    <w:p w14:paraId="2B047E66">
      <w:pPr>
        <w:numPr>
          <w:ilvl w:val="0"/>
          <w:numId w:val="73"/>
        </w:numPr>
        <w:spacing w:line="360" w:lineRule="auto"/>
        <w:rPr>
          <w:rFonts w:hint="eastAsia" w:ascii="微软雅黑 Light" w:hAnsi="微软雅黑 Light" w:eastAsia="微软雅黑 Light" w:cs="微软雅黑 Light"/>
          <w:snapToGrid w:val="0"/>
          <w:kern w:val="0"/>
          <w:sz w:val="21"/>
          <w:szCs w:val="21"/>
        </w:rPr>
      </w:pPr>
      <w:r>
        <w:rPr>
          <w:rFonts w:hint="eastAsia" w:ascii="微软雅黑 Light" w:hAnsi="微软雅黑 Light" w:eastAsia="微软雅黑 Light" w:cs="微软雅黑 Light"/>
          <w:snapToGrid w:val="0"/>
          <w:kern w:val="0"/>
          <w:sz w:val="21"/>
          <w:szCs w:val="21"/>
        </w:rPr>
        <w:t>系统设计图纸</w:t>
      </w:r>
    </w:p>
    <w:p w14:paraId="6634A213">
      <w:pPr>
        <w:numPr>
          <w:ilvl w:val="0"/>
          <w:numId w:val="73"/>
        </w:numPr>
        <w:spacing w:line="360" w:lineRule="auto"/>
        <w:rPr>
          <w:rFonts w:hint="eastAsia" w:ascii="微软雅黑 Light" w:hAnsi="微软雅黑 Light" w:eastAsia="微软雅黑 Light" w:cs="微软雅黑 Light"/>
          <w:snapToGrid w:val="0"/>
          <w:kern w:val="0"/>
          <w:sz w:val="21"/>
          <w:szCs w:val="21"/>
        </w:rPr>
      </w:pPr>
      <w:r>
        <w:rPr>
          <w:rFonts w:hint="eastAsia" w:ascii="微软雅黑 Light" w:hAnsi="微软雅黑 Light" w:eastAsia="微软雅黑 Light" w:cs="微软雅黑 Light"/>
          <w:snapToGrid w:val="0"/>
          <w:kern w:val="0"/>
          <w:sz w:val="21"/>
          <w:szCs w:val="21"/>
        </w:rPr>
        <w:t>系统施工图纸</w:t>
      </w:r>
    </w:p>
    <w:p w14:paraId="1E8925D4">
      <w:pPr>
        <w:numPr>
          <w:ilvl w:val="0"/>
          <w:numId w:val="73"/>
        </w:numPr>
        <w:spacing w:line="360" w:lineRule="auto"/>
        <w:rPr>
          <w:rFonts w:hint="eastAsia" w:ascii="微软雅黑 Light" w:hAnsi="微软雅黑 Light" w:eastAsia="微软雅黑 Light" w:cs="微软雅黑 Light"/>
          <w:snapToGrid w:val="0"/>
          <w:kern w:val="0"/>
          <w:sz w:val="21"/>
          <w:szCs w:val="21"/>
        </w:rPr>
      </w:pPr>
      <w:r>
        <w:rPr>
          <w:rFonts w:hint="eastAsia" w:ascii="微软雅黑 Light" w:hAnsi="微软雅黑 Light" w:eastAsia="微软雅黑 Light" w:cs="微软雅黑 Light"/>
          <w:snapToGrid w:val="0"/>
          <w:kern w:val="0"/>
          <w:sz w:val="21"/>
          <w:szCs w:val="21"/>
        </w:rPr>
        <w:t>系统软件设计与组态文档</w:t>
      </w:r>
      <w:bookmarkStart w:id="358" w:name="_Toc242848331"/>
      <w:bookmarkStart w:id="359" w:name="_Toc179959816"/>
      <w:bookmarkStart w:id="360" w:name="_Toc179959085"/>
      <w:bookmarkStart w:id="361" w:name="_Toc231044542"/>
      <w:bookmarkStart w:id="362" w:name="_Toc178760387"/>
      <w:bookmarkStart w:id="363" w:name="_Toc179561982"/>
    </w:p>
    <w:p w14:paraId="5CE43552">
      <w:pPr>
        <w:pStyle w:val="4"/>
        <w:bidi w:val="0"/>
        <w:rPr>
          <w:rFonts w:hint="eastAsia"/>
        </w:rPr>
      </w:pPr>
      <w:bookmarkStart w:id="364" w:name="_Toc296285132"/>
      <w:bookmarkStart w:id="365" w:name="_Toc23115"/>
      <w:bookmarkStart w:id="366" w:name="_Toc4947"/>
      <w:r>
        <w:rPr>
          <w:rFonts w:hint="eastAsia"/>
          <w:lang w:val="en-US" w:eastAsia="zh-CN"/>
        </w:rPr>
        <w:t>8</w:t>
      </w:r>
      <w:r>
        <w:rPr>
          <w:rFonts w:hint="eastAsia"/>
        </w:rPr>
        <w:t>.8.2施工管理</w:t>
      </w:r>
      <w:bookmarkEnd w:id="358"/>
      <w:bookmarkEnd w:id="359"/>
      <w:bookmarkEnd w:id="360"/>
      <w:bookmarkEnd w:id="361"/>
      <w:bookmarkEnd w:id="362"/>
      <w:bookmarkEnd w:id="363"/>
      <w:bookmarkEnd w:id="364"/>
      <w:bookmarkEnd w:id="365"/>
      <w:bookmarkEnd w:id="366"/>
    </w:p>
    <w:p w14:paraId="0C1339EA">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在施工过程中，除了要求施工和技术符合规范以外，其中也涉及其他专业的管理内容，工程的施工管理之所以必不可少，关键在于它的协调和组织的作用，我公司将会采取有效的措施在以下几个方面切实作好施工管理工作：</w:t>
      </w:r>
    </w:p>
    <w:p w14:paraId="3862F84D">
      <w:pPr>
        <w:numPr>
          <w:ilvl w:val="0"/>
          <w:numId w:val="74"/>
        </w:numPr>
        <w:spacing w:line="360" w:lineRule="auto"/>
        <w:rPr>
          <w:rFonts w:hint="eastAsia" w:ascii="微软雅黑 Light" w:hAnsi="微软雅黑 Light" w:eastAsia="微软雅黑 Light" w:cs="微软雅黑 Light"/>
          <w:snapToGrid w:val="0"/>
          <w:kern w:val="0"/>
          <w:sz w:val="21"/>
          <w:szCs w:val="21"/>
        </w:rPr>
      </w:pPr>
      <w:r>
        <w:rPr>
          <w:rFonts w:hint="eastAsia" w:ascii="微软雅黑 Light" w:hAnsi="微软雅黑 Light" w:eastAsia="微软雅黑 Light" w:cs="微软雅黑 Light"/>
          <w:snapToGrid w:val="0"/>
          <w:kern w:val="0"/>
          <w:sz w:val="21"/>
          <w:szCs w:val="21"/>
        </w:rPr>
        <w:t>工程的资格管理（单位资质、人员资格、工具合格）</w:t>
      </w:r>
    </w:p>
    <w:p w14:paraId="4164D346">
      <w:pPr>
        <w:numPr>
          <w:ilvl w:val="0"/>
          <w:numId w:val="74"/>
        </w:numPr>
        <w:spacing w:line="360" w:lineRule="auto"/>
        <w:rPr>
          <w:rFonts w:hint="eastAsia" w:ascii="微软雅黑 Light" w:hAnsi="微软雅黑 Light" w:eastAsia="微软雅黑 Light" w:cs="微软雅黑 Light"/>
          <w:snapToGrid w:val="0"/>
          <w:kern w:val="0"/>
          <w:sz w:val="21"/>
          <w:szCs w:val="21"/>
        </w:rPr>
      </w:pPr>
      <w:r>
        <w:rPr>
          <w:rFonts w:hint="eastAsia" w:ascii="微软雅黑 Light" w:hAnsi="微软雅黑 Light" w:eastAsia="微软雅黑 Light" w:cs="微软雅黑 Light"/>
          <w:snapToGrid w:val="0"/>
          <w:kern w:val="0"/>
          <w:sz w:val="21"/>
          <w:szCs w:val="21"/>
        </w:rPr>
        <w:t>设备材料的管理（材料审批、验收制度、仓库管理）</w:t>
      </w:r>
    </w:p>
    <w:p w14:paraId="171B76CA">
      <w:pPr>
        <w:numPr>
          <w:ilvl w:val="0"/>
          <w:numId w:val="74"/>
        </w:numPr>
        <w:spacing w:line="360" w:lineRule="auto"/>
        <w:rPr>
          <w:rFonts w:hint="eastAsia" w:ascii="微软雅黑 Light" w:hAnsi="微软雅黑 Light" w:eastAsia="微软雅黑 Light" w:cs="微软雅黑 Light"/>
          <w:snapToGrid w:val="0"/>
          <w:kern w:val="0"/>
          <w:sz w:val="21"/>
          <w:szCs w:val="21"/>
        </w:rPr>
      </w:pPr>
      <w:r>
        <w:rPr>
          <w:rFonts w:hint="eastAsia" w:ascii="微软雅黑 Light" w:hAnsi="微软雅黑 Light" w:eastAsia="微软雅黑 Light" w:cs="微软雅黑 Light"/>
          <w:snapToGrid w:val="0"/>
          <w:kern w:val="0"/>
          <w:sz w:val="21"/>
          <w:szCs w:val="21"/>
        </w:rPr>
        <w:t>施工的进度管理（进度计划、进度执行）</w:t>
      </w:r>
    </w:p>
    <w:p w14:paraId="6A8494C2">
      <w:pPr>
        <w:numPr>
          <w:ilvl w:val="0"/>
          <w:numId w:val="74"/>
        </w:numPr>
        <w:spacing w:line="360" w:lineRule="auto"/>
        <w:rPr>
          <w:rFonts w:hint="eastAsia" w:ascii="微软雅黑 Light" w:hAnsi="微软雅黑 Light" w:eastAsia="微软雅黑 Light" w:cs="微软雅黑 Light"/>
          <w:snapToGrid w:val="0"/>
          <w:kern w:val="0"/>
          <w:sz w:val="21"/>
          <w:szCs w:val="21"/>
        </w:rPr>
      </w:pPr>
      <w:r>
        <w:rPr>
          <w:rFonts w:hint="eastAsia" w:ascii="微软雅黑 Light" w:hAnsi="微软雅黑 Light" w:eastAsia="微软雅黑 Light" w:cs="微软雅黑 Light"/>
          <w:snapToGrid w:val="0"/>
          <w:kern w:val="0"/>
          <w:sz w:val="21"/>
          <w:szCs w:val="21"/>
        </w:rPr>
        <w:t>施工的质量管理（验收制度、成品保护）</w:t>
      </w:r>
    </w:p>
    <w:p w14:paraId="50A31405">
      <w:pPr>
        <w:numPr>
          <w:ilvl w:val="0"/>
          <w:numId w:val="74"/>
        </w:numPr>
        <w:spacing w:line="360" w:lineRule="auto"/>
        <w:rPr>
          <w:rFonts w:hint="eastAsia" w:ascii="微软雅黑 Light" w:hAnsi="微软雅黑 Light" w:eastAsia="微软雅黑 Light" w:cs="微软雅黑 Light"/>
          <w:snapToGrid w:val="0"/>
          <w:kern w:val="0"/>
          <w:sz w:val="21"/>
          <w:szCs w:val="21"/>
        </w:rPr>
      </w:pPr>
      <w:r>
        <w:rPr>
          <w:rFonts w:hint="eastAsia" w:ascii="微软雅黑 Light" w:hAnsi="微软雅黑 Light" w:eastAsia="微软雅黑 Light" w:cs="微软雅黑 Light"/>
          <w:snapToGrid w:val="0"/>
          <w:kern w:val="0"/>
          <w:sz w:val="21"/>
          <w:szCs w:val="21"/>
        </w:rPr>
        <w:t>施工的安全管理</w:t>
      </w:r>
    </w:p>
    <w:p w14:paraId="28A6A7DC">
      <w:pPr>
        <w:numPr>
          <w:ilvl w:val="0"/>
          <w:numId w:val="74"/>
        </w:numPr>
        <w:spacing w:line="360" w:lineRule="auto"/>
        <w:rPr>
          <w:rFonts w:hint="eastAsia" w:ascii="微软雅黑 Light" w:hAnsi="微软雅黑 Light" w:eastAsia="微软雅黑 Light" w:cs="微软雅黑 Light"/>
          <w:snapToGrid w:val="0"/>
          <w:kern w:val="0"/>
          <w:sz w:val="21"/>
          <w:szCs w:val="21"/>
        </w:rPr>
      </w:pPr>
      <w:r>
        <w:rPr>
          <w:rFonts w:hint="eastAsia" w:ascii="微软雅黑 Light" w:hAnsi="微软雅黑 Light" w:eastAsia="微软雅黑 Light" w:cs="微软雅黑 Light"/>
          <w:snapToGrid w:val="0"/>
          <w:kern w:val="0"/>
          <w:sz w:val="21"/>
          <w:szCs w:val="21"/>
        </w:rPr>
        <w:t>施工的界面管理</w:t>
      </w:r>
    </w:p>
    <w:p w14:paraId="3E6935E8">
      <w:pPr>
        <w:numPr>
          <w:ilvl w:val="0"/>
          <w:numId w:val="74"/>
        </w:numPr>
        <w:spacing w:line="360" w:lineRule="auto"/>
        <w:rPr>
          <w:rFonts w:hint="eastAsia" w:ascii="微软雅黑 Light" w:hAnsi="微软雅黑 Light" w:eastAsia="微软雅黑 Light" w:cs="微软雅黑 Light"/>
          <w:snapToGrid w:val="0"/>
          <w:kern w:val="0"/>
          <w:sz w:val="21"/>
          <w:szCs w:val="21"/>
        </w:rPr>
      </w:pPr>
      <w:r>
        <w:rPr>
          <w:rFonts w:hint="eastAsia" w:ascii="微软雅黑 Light" w:hAnsi="微软雅黑 Light" w:eastAsia="微软雅黑 Light" w:cs="微软雅黑 Light"/>
          <w:snapToGrid w:val="0"/>
          <w:kern w:val="0"/>
          <w:sz w:val="21"/>
          <w:szCs w:val="21"/>
        </w:rPr>
        <w:t>施工的组织管理</w:t>
      </w:r>
    </w:p>
    <w:p w14:paraId="5A35BAD2">
      <w:pPr>
        <w:numPr>
          <w:ilvl w:val="0"/>
          <w:numId w:val="74"/>
        </w:numPr>
        <w:spacing w:line="360" w:lineRule="auto"/>
        <w:rPr>
          <w:rFonts w:hint="eastAsia" w:ascii="微软雅黑 Light" w:hAnsi="微软雅黑 Light" w:eastAsia="微软雅黑 Light" w:cs="微软雅黑 Light"/>
          <w:snapToGrid w:val="0"/>
          <w:kern w:val="0"/>
          <w:sz w:val="21"/>
          <w:szCs w:val="21"/>
        </w:rPr>
      </w:pPr>
      <w:r>
        <w:rPr>
          <w:rFonts w:hint="eastAsia" w:ascii="微软雅黑 Light" w:hAnsi="微软雅黑 Light" w:eastAsia="微软雅黑 Light" w:cs="微软雅黑 Light"/>
          <w:snapToGrid w:val="0"/>
          <w:kern w:val="0"/>
          <w:sz w:val="21"/>
          <w:szCs w:val="21"/>
        </w:rPr>
        <w:t>工程的文档管理</w:t>
      </w:r>
      <w:bookmarkStart w:id="367" w:name="_Toc178760388"/>
      <w:bookmarkStart w:id="368" w:name="_Toc179959086"/>
      <w:bookmarkStart w:id="369" w:name="_Toc242848332"/>
      <w:bookmarkStart w:id="370" w:name="_Toc231044543"/>
      <w:bookmarkStart w:id="371" w:name="_Toc179561983"/>
      <w:bookmarkStart w:id="372" w:name="_Toc179959817"/>
    </w:p>
    <w:p w14:paraId="37016A04">
      <w:pPr>
        <w:pStyle w:val="4"/>
        <w:bidi w:val="0"/>
        <w:rPr>
          <w:rFonts w:hint="eastAsia"/>
        </w:rPr>
      </w:pPr>
      <w:bookmarkStart w:id="373" w:name="_Toc296285133"/>
      <w:bookmarkStart w:id="374" w:name="_Toc19933"/>
      <w:bookmarkStart w:id="375" w:name="_Toc21667"/>
      <w:r>
        <w:rPr>
          <w:rFonts w:hint="eastAsia"/>
          <w:lang w:val="en-US" w:eastAsia="zh-CN"/>
        </w:rPr>
        <w:t>8</w:t>
      </w:r>
      <w:r>
        <w:rPr>
          <w:rFonts w:hint="eastAsia"/>
        </w:rPr>
        <w:t>.8.3工程的技术管理</w:t>
      </w:r>
      <w:bookmarkEnd w:id="367"/>
      <w:bookmarkEnd w:id="368"/>
      <w:bookmarkEnd w:id="369"/>
      <w:bookmarkEnd w:id="370"/>
      <w:bookmarkEnd w:id="371"/>
      <w:bookmarkEnd w:id="372"/>
      <w:bookmarkEnd w:id="373"/>
      <w:bookmarkEnd w:id="374"/>
      <w:bookmarkEnd w:id="375"/>
    </w:p>
    <w:p w14:paraId="094E9D76">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工程的技术管理贯穿整个工程施工的全过程，我公司将派出富有经验的专业技术工程师参加工程的技术督导。执行和贯彻国家、行业的技术标准及规范，严格按照智能弱电系统工程设计的要求施工。在提供设备、线材规格、安装要求、对线记录、调试工艺、验收标准等一系列方面进行技术监督和行之有效的管理，其管理内容如下：</w:t>
      </w:r>
    </w:p>
    <w:p w14:paraId="2FABB12C">
      <w:pPr>
        <w:numPr>
          <w:ilvl w:val="0"/>
          <w:numId w:val="75"/>
        </w:numPr>
        <w:spacing w:line="360" w:lineRule="auto"/>
        <w:rPr>
          <w:rFonts w:hint="eastAsia" w:ascii="微软雅黑 Light" w:hAnsi="微软雅黑 Light" w:eastAsia="微软雅黑 Light" w:cs="微软雅黑 Light"/>
          <w:snapToGrid w:val="0"/>
          <w:kern w:val="0"/>
          <w:sz w:val="21"/>
          <w:szCs w:val="21"/>
        </w:rPr>
      </w:pPr>
      <w:r>
        <w:rPr>
          <w:rFonts w:hint="eastAsia" w:ascii="微软雅黑 Light" w:hAnsi="微软雅黑 Light" w:eastAsia="微软雅黑 Light" w:cs="微软雅黑 Light"/>
          <w:snapToGrid w:val="0"/>
          <w:kern w:val="0"/>
          <w:sz w:val="21"/>
          <w:szCs w:val="21"/>
        </w:rPr>
        <w:t>技术标准和规范的管理</w:t>
      </w:r>
    </w:p>
    <w:p w14:paraId="4FC51010">
      <w:pPr>
        <w:numPr>
          <w:ilvl w:val="0"/>
          <w:numId w:val="75"/>
        </w:numPr>
        <w:spacing w:line="360" w:lineRule="auto"/>
        <w:rPr>
          <w:rFonts w:hint="eastAsia" w:ascii="微软雅黑 Light" w:hAnsi="微软雅黑 Light" w:eastAsia="微软雅黑 Light" w:cs="微软雅黑 Light"/>
          <w:snapToGrid w:val="0"/>
          <w:kern w:val="0"/>
          <w:sz w:val="21"/>
          <w:szCs w:val="21"/>
        </w:rPr>
      </w:pPr>
      <w:r>
        <w:rPr>
          <w:rFonts w:hint="eastAsia" w:ascii="微软雅黑 Light" w:hAnsi="微软雅黑 Light" w:eastAsia="微软雅黑 Light" w:cs="微软雅黑 Light"/>
          <w:snapToGrid w:val="0"/>
          <w:kern w:val="0"/>
          <w:sz w:val="21"/>
          <w:szCs w:val="21"/>
        </w:rPr>
        <w:t>安装工艺的指导与管理</w:t>
      </w:r>
    </w:p>
    <w:p w14:paraId="6FD9F81C">
      <w:pPr>
        <w:numPr>
          <w:ilvl w:val="0"/>
          <w:numId w:val="75"/>
        </w:numPr>
        <w:spacing w:line="360" w:lineRule="auto"/>
        <w:rPr>
          <w:rFonts w:hint="eastAsia" w:ascii="微软雅黑 Light" w:hAnsi="微软雅黑 Light" w:eastAsia="微软雅黑 Light" w:cs="微软雅黑 Light"/>
          <w:snapToGrid w:val="0"/>
          <w:kern w:val="0"/>
          <w:sz w:val="21"/>
          <w:szCs w:val="21"/>
        </w:rPr>
      </w:pPr>
      <w:r>
        <w:rPr>
          <w:rFonts w:hint="eastAsia" w:ascii="微软雅黑 Light" w:hAnsi="微软雅黑 Light" w:eastAsia="微软雅黑 Light" w:cs="微软雅黑 Light"/>
          <w:snapToGrid w:val="0"/>
          <w:kern w:val="0"/>
          <w:sz w:val="21"/>
          <w:szCs w:val="21"/>
        </w:rPr>
        <w:t>调试作业与管理</w:t>
      </w:r>
    </w:p>
    <w:p w14:paraId="469DF4FD">
      <w:pPr>
        <w:pStyle w:val="4"/>
        <w:bidi w:val="0"/>
        <w:rPr>
          <w:rFonts w:hint="eastAsia"/>
        </w:rPr>
      </w:pPr>
      <w:bookmarkStart w:id="376" w:name="_Toc178760389"/>
      <w:bookmarkStart w:id="377" w:name="_Toc179959087"/>
      <w:bookmarkStart w:id="378" w:name="_Toc90989662"/>
      <w:bookmarkStart w:id="379" w:name="_Toc179959818"/>
      <w:bookmarkStart w:id="380" w:name="_Toc296285134"/>
      <w:bookmarkStart w:id="381" w:name="_Toc179561984"/>
      <w:bookmarkStart w:id="382" w:name="_Toc85607997"/>
      <w:bookmarkStart w:id="383" w:name="_Toc242848333"/>
      <w:bookmarkStart w:id="384" w:name="_Toc7175"/>
      <w:bookmarkStart w:id="385" w:name="_Toc231044544"/>
      <w:bookmarkStart w:id="386" w:name="_Toc78013842"/>
      <w:bookmarkStart w:id="387" w:name="_Toc19146"/>
      <w:r>
        <w:rPr>
          <w:rFonts w:hint="eastAsia"/>
          <w:lang w:val="en-US" w:eastAsia="zh-CN"/>
        </w:rPr>
        <w:t>8</w:t>
      </w:r>
      <w:r>
        <w:rPr>
          <w:rFonts w:hint="eastAsia"/>
        </w:rPr>
        <w:t>.8.4工程质量管理</w:t>
      </w:r>
      <w:bookmarkEnd w:id="376"/>
      <w:bookmarkEnd w:id="377"/>
      <w:bookmarkEnd w:id="378"/>
      <w:bookmarkEnd w:id="379"/>
      <w:bookmarkEnd w:id="380"/>
      <w:bookmarkEnd w:id="381"/>
      <w:bookmarkEnd w:id="382"/>
      <w:bookmarkEnd w:id="383"/>
      <w:bookmarkEnd w:id="384"/>
      <w:bookmarkEnd w:id="385"/>
      <w:bookmarkEnd w:id="386"/>
      <w:bookmarkEnd w:id="387"/>
    </w:p>
    <w:p w14:paraId="68B78F20">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工程质量管理是我司各项工作的综合反映，我司将会在实际施工中作好以下几个质量环节，确实作好质量控制、质量检验和质量评定：</w:t>
      </w:r>
    </w:p>
    <w:p w14:paraId="767E4840">
      <w:pPr>
        <w:numPr>
          <w:ilvl w:val="0"/>
          <w:numId w:val="76"/>
        </w:numPr>
        <w:spacing w:line="360" w:lineRule="auto"/>
        <w:rPr>
          <w:rFonts w:hint="eastAsia" w:ascii="微软雅黑 Light" w:hAnsi="微软雅黑 Light" w:eastAsia="微软雅黑 Light" w:cs="微软雅黑 Light"/>
          <w:snapToGrid w:val="0"/>
          <w:kern w:val="0"/>
          <w:sz w:val="21"/>
          <w:szCs w:val="21"/>
        </w:rPr>
      </w:pPr>
      <w:r>
        <w:rPr>
          <w:rFonts w:hint="eastAsia" w:ascii="微软雅黑 Light" w:hAnsi="微软雅黑 Light" w:eastAsia="微软雅黑 Light" w:cs="微软雅黑 Light"/>
          <w:snapToGrid w:val="0"/>
          <w:kern w:val="0"/>
          <w:sz w:val="21"/>
          <w:szCs w:val="21"/>
        </w:rPr>
        <w:t>施工图的规范化和制图的质量标准</w:t>
      </w:r>
    </w:p>
    <w:p w14:paraId="6318B0CD">
      <w:pPr>
        <w:numPr>
          <w:ilvl w:val="0"/>
          <w:numId w:val="76"/>
        </w:numPr>
        <w:spacing w:line="360" w:lineRule="auto"/>
        <w:rPr>
          <w:rFonts w:hint="eastAsia" w:ascii="微软雅黑 Light" w:hAnsi="微软雅黑 Light" w:eastAsia="微软雅黑 Light" w:cs="微软雅黑 Light"/>
          <w:snapToGrid w:val="0"/>
          <w:kern w:val="0"/>
          <w:sz w:val="21"/>
          <w:szCs w:val="21"/>
        </w:rPr>
      </w:pPr>
      <w:r>
        <w:rPr>
          <w:rFonts w:hint="eastAsia" w:ascii="微软雅黑 Light" w:hAnsi="微软雅黑 Light" w:eastAsia="微软雅黑 Light" w:cs="微软雅黑 Light"/>
          <w:snapToGrid w:val="0"/>
          <w:kern w:val="0"/>
          <w:sz w:val="21"/>
          <w:szCs w:val="21"/>
        </w:rPr>
        <w:t>管线施工的质量要求和监督</w:t>
      </w:r>
    </w:p>
    <w:p w14:paraId="77309594">
      <w:pPr>
        <w:numPr>
          <w:ilvl w:val="0"/>
          <w:numId w:val="76"/>
        </w:numPr>
        <w:spacing w:line="360" w:lineRule="auto"/>
        <w:rPr>
          <w:rFonts w:hint="eastAsia" w:ascii="微软雅黑 Light" w:hAnsi="微软雅黑 Light" w:eastAsia="微软雅黑 Light" w:cs="微软雅黑 Light"/>
          <w:snapToGrid w:val="0"/>
          <w:kern w:val="0"/>
          <w:sz w:val="21"/>
          <w:szCs w:val="21"/>
        </w:rPr>
      </w:pPr>
      <w:r>
        <w:rPr>
          <w:rFonts w:hint="eastAsia" w:ascii="微软雅黑 Light" w:hAnsi="微软雅黑 Light" w:eastAsia="微软雅黑 Light" w:cs="微软雅黑 Light"/>
          <w:snapToGrid w:val="0"/>
          <w:kern w:val="0"/>
          <w:sz w:val="21"/>
          <w:szCs w:val="21"/>
        </w:rPr>
        <w:t>配线的质量要求和监督</w:t>
      </w:r>
    </w:p>
    <w:p w14:paraId="6BA1C047">
      <w:pPr>
        <w:numPr>
          <w:ilvl w:val="0"/>
          <w:numId w:val="76"/>
        </w:numPr>
        <w:spacing w:line="360" w:lineRule="auto"/>
        <w:rPr>
          <w:rFonts w:hint="eastAsia" w:ascii="微软雅黑 Light" w:hAnsi="微软雅黑 Light" w:eastAsia="微软雅黑 Light" w:cs="微软雅黑 Light"/>
          <w:snapToGrid w:val="0"/>
          <w:kern w:val="0"/>
          <w:sz w:val="21"/>
          <w:szCs w:val="21"/>
        </w:rPr>
      </w:pPr>
      <w:r>
        <w:rPr>
          <w:rFonts w:hint="eastAsia" w:ascii="微软雅黑 Light" w:hAnsi="微软雅黑 Light" w:eastAsia="微软雅黑 Light" w:cs="微软雅黑 Light"/>
          <w:snapToGrid w:val="0"/>
          <w:kern w:val="0"/>
          <w:sz w:val="21"/>
          <w:szCs w:val="21"/>
        </w:rPr>
        <w:t>配线施工的质量要求和监督</w:t>
      </w:r>
    </w:p>
    <w:p w14:paraId="11517E02">
      <w:pPr>
        <w:numPr>
          <w:ilvl w:val="0"/>
          <w:numId w:val="76"/>
        </w:numPr>
        <w:spacing w:line="360" w:lineRule="auto"/>
        <w:rPr>
          <w:rFonts w:hint="eastAsia" w:ascii="微软雅黑 Light" w:hAnsi="微软雅黑 Light" w:eastAsia="微软雅黑 Light" w:cs="微软雅黑 Light"/>
          <w:snapToGrid w:val="0"/>
          <w:kern w:val="0"/>
          <w:sz w:val="21"/>
          <w:szCs w:val="21"/>
        </w:rPr>
      </w:pPr>
      <w:r>
        <w:rPr>
          <w:rFonts w:hint="eastAsia" w:ascii="微软雅黑 Light" w:hAnsi="微软雅黑 Light" w:eastAsia="微软雅黑 Light" w:cs="微软雅黑 Light"/>
          <w:snapToGrid w:val="0"/>
          <w:kern w:val="0"/>
          <w:sz w:val="21"/>
          <w:szCs w:val="21"/>
        </w:rPr>
        <w:t>调试大纲的审核、实施及质量监督</w:t>
      </w:r>
    </w:p>
    <w:p w14:paraId="020D8987">
      <w:pPr>
        <w:numPr>
          <w:ilvl w:val="0"/>
          <w:numId w:val="76"/>
        </w:numPr>
        <w:spacing w:line="360" w:lineRule="auto"/>
        <w:rPr>
          <w:rFonts w:hint="eastAsia" w:ascii="微软雅黑 Light" w:hAnsi="微软雅黑 Light" w:eastAsia="微软雅黑 Light" w:cs="微软雅黑 Light"/>
          <w:snapToGrid w:val="0"/>
          <w:kern w:val="0"/>
          <w:sz w:val="21"/>
          <w:szCs w:val="21"/>
        </w:rPr>
      </w:pPr>
      <w:r>
        <w:rPr>
          <w:rFonts w:hint="eastAsia" w:ascii="微软雅黑 Light" w:hAnsi="微软雅黑 Light" w:eastAsia="微软雅黑 Light" w:cs="微软雅黑 Light"/>
          <w:snapToGrid w:val="0"/>
          <w:kern w:val="0"/>
          <w:sz w:val="21"/>
          <w:szCs w:val="21"/>
        </w:rPr>
        <w:t>系统运行时的参数统计和质量分析</w:t>
      </w:r>
    </w:p>
    <w:p w14:paraId="59D47119">
      <w:pPr>
        <w:numPr>
          <w:ilvl w:val="0"/>
          <w:numId w:val="76"/>
        </w:numPr>
        <w:spacing w:line="360" w:lineRule="auto"/>
        <w:rPr>
          <w:rFonts w:hint="eastAsia" w:ascii="微软雅黑 Light" w:hAnsi="微软雅黑 Light" w:eastAsia="微软雅黑 Light" w:cs="微软雅黑 Light"/>
          <w:snapToGrid w:val="0"/>
          <w:kern w:val="0"/>
          <w:sz w:val="21"/>
          <w:szCs w:val="21"/>
        </w:rPr>
      </w:pPr>
      <w:r>
        <w:rPr>
          <w:rFonts w:hint="eastAsia" w:ascii="微软雅黑 Light" w:hAnsi="微软雅黑 Light" w:eastAsia="微软雅黑 Light" w:cs="微软雅黑 Light"/>
          <w:snapToGrid w:val="0"/>
          <w:kern w:val="0"/>
          <w:sz w:val="21"/>
          <w:szCs w:val="21"/>
        </w:rPr>
        <w:t>系统验收的步骤和方法</w:t>
      </w:r>
    </w:p>
    <w:p w14:paraId="196FCF6A">
      <w:pPr>
        <w:numPr>
          <w:ilvl w:val="0"/>
          <w:numId w:val="76"/>
        </w:numPr>
        <w:spacing w:line="360" w:lineRule="auto"/>
        <w:rPr>
          <w:rFonts w:hint="eastAsia" w:ascii="微软雅黑 Light" w:hAnsi="微软雅黑 Light" w:eastAsia="微软雅黑 Light" w:cs="微软雅黑 Light"/>
          <w:snapToGrid w:val="0"/>
          <w:kern w:val="0"/>
          <w:sz w:val="21"/>
          <w:szCs w:val="21"/>
        </w:rPr>
      </w:pPr>
      <w:r>
        <w:rPr>
          <w:rFonts w:hint="eastAsia" w:ascii="微软雅黑 Light" w:hAnsi="微软雅黑 Light" w:eastAsia="微软雅黑 Light" w:cs="微软雅黑 Light"/>
          <w:snapToGrid w:val="0"/>
          <w:kern w:val="0"/>
          <w:sz w:val="21"/>
          <w:szCs w:val="21"/>
        </w:rPr>
        <w:t>系统验收的质量标准</w:t>
      </w:r>
    </w:p>
    <w:p w14:paraId="152656FA">
      <w:pPr>
        <w:numPr>
          <w:ilvl w:val="0"/>
          <w:numId w:val="76"/>
        </w:numPr>
        <w:spacing w:line="360" w:lineRule="auto"/>
        <w:rPr>
          <w:rFonts w:hint="eastAsia" w:ascii="微软雅黑 Light" w:hAnsi="微软雅黑 Light" w:eastAsia="微软雅黑 Light" w:cs="微软雅黑 Light"/>
          <w:snapToGrid w:val="0"/>
          <w:kern w:val="0"/>
          <w:sz w:val="21"/>
          <w:szCs w:val="21"/>
        </w:rPr>
      </w:pPr>
      <w:r>
        <w:rPr>
          <w:rFonts w:hint="eastAsia" w:ascii="微软雅黑 Light" w:hAnsi="微软雅黑 Light" w:eastAsia="微软雅黑 Light" w:cs="微软雅黑 Light"/>
          <w:snapToGrid w:val="0"/>
          <w:kern w:val="0"/>
          <w:sz w:val="21"/>
          <w:szCs w:val="21"/>
        </w:rPr>
        <w:t>系统操作与运行管理的规范要求</w:t>
      </w:r>
    </w:p>
    <w:p w14:paraId="09A390CA">
      <w:pPr>
        <w:numPr>
          <w:ilvl w:val="0"/>
          <w:numId w:val="76"/>
        </w:numPr>
        <w:spacing w:line="360" w:lineRule="auto"/>
        <w:rPr>
          <w:rFonts w:hint="eastAsia" w:ascii="微软雅黑 Light" w:hAnsi="微软雅黑 Light" w:eastAsia="微软雅黑 Light" w:cs="微软雅黑 Light"/>
          <w:snapToGrid w:val="0"/>
          <w:kern w:val="0"/>
          <w:sz w:val="21"/>
          <w:szCs w:val="21"/>
        </w:rPr>
      </w:pPr>
      <w:r>
        <w:rPr>
          <w:rFonts w:hint="eastAsia" w:ascii="微软雅黑 Light" w:hAnsi="微软雅黑 Light" w:eastAsia="微软雅黑 Light" w:cs="微软雅黑 Light"/>
          <w:snapToGrid w:val="0"/>
          <w:kern w:val="0"/>
          <w:sz w:val="21"/>
          <w:szCs w:val="21"/>
        </w:rPr>
        <w:t>系统的保养和维修的规范和要求</w:t>
      </w:r>
    </w:p>
    <w:p w14:paraId="7B5F280A">
      <w:pPr>
        <w:numPr>
          <w:ilvl w:val="0"/>
          <w:numId w:val="76"/>
        </w:numPr>
        <w:spacing w:line="360" w:lineRule="auto"/>
        <w:rPr>
          <w:rFonts w:hint="eastAsia" w:ascii="微软雅黑 Light" w:hAnsi="微软雅黑 Light" w:eastAsia="微软雅黑 Light" w:cs="微软雅黑 Light"/>
          <w:snapToGrid w:val="0"/>
          <w:kern w:val="0"/>
          <w:sz w:val="21"/>
          <w:szCs w:val="21"/>
        </w:rPr>
      </w:pPr>
      <w:r>
        <w:rPr>
          <w:rFonts w:hint="eastAsia" w:ascii="微软雅黑 Light" w:hAnsi="微软雅黑 Light" w:eastAsia="微软雅黑 Light" w:cs="微软雅黑 Light"/>
          <w:snapToGrid w:val="0"/>
          <w:kern w:val="0"/>
          <w:sz w:val="21"/>
          <w:szCs w:val="21"/>
        </w:rPr>
        <w:t>系统运行总结</w:t>
      </w:r>
    </w:p>
    <w:p w14:paraId="5770598C">
      <w:pPr>
        <w:pStyle w:val="4"/>
        <w:bidi w:val="0"/>
        <w:rPr>
          <w:rFonts w:hint="eastAsia"/>
        </w:rPr>
      </w:pPr>
      <w:bookmarkStart w:id="388" w:name="_Toc231044545"/>
      <w:bookmarkStart w:id="389" w:name="_Toc179959819"/>
      <w:bookmarkStart w:id="390" w:name="_Toc179959088"/>
      <w:bookmarkStart w:id="391" w:name="_Toc78013843"/>
      <w:bookmarkStart w:id="392" w:name="_Toc179561985"/>
      <w:bookmarkStart w:id="393" w:name="_Toc178760390"/>
      <w:bookmarkStart w:id="394" w:name="_Toc296285135"/>
      <w:bookmarkStart w:id="395" w:name="_Toc242848334"/>
      <w:bookmarkStart w:id="396" w:name="_Toc85607998"/>
      <w:bookmarkStart w:id="397" w:name="_Toc28119"/>
      <w:bookmarkStart w:id="398" w:name="_Toc90989663"/>
      <w:bookmarkStart w:id="399" w:name="_Toc20032"/>
      <w:r>
        <w:rPr>
          <w:rFonts w:hint="eastAsia"/>
          <w:lang w:val="en-US" w:eastAsia="zh-CN"/>
        </w:rPr>
        <w:t>8</w:t>
      </w:r>
      <w:r>
        <w:rPr>
          <w:rFonts w:hint="eastAsia"/>
        </w:rPr>
        <w:t>.8.5安全生产管理</w:t>
      </w:r>
      <w:bookmarkEnd w:id="388"/>
      <w:bookmarkEnd w:id="389"/>
      <w:bookmarkEnd w:id="390"/>
      <w:bookmarkEnd w:id="391"/>
      <w:bookmarkEnd w:id="392"/>
      <w:bookmarkEnd w:id="393"/>
      <w:bookmarkEnd w:id="394"/>
      <w:bookmarkEnd w:id="395"/>
      <w:bookmarkEnd w:id="396"/>
      <w:bookmarkEnd w:id="397"/>
      <w:bookmarkEnd w:id="398"/>
      <w:bookmarkEnd w:id="399"/>
    </w:p>
    <w:p w14:paraId="2D05B44A">
      <w:pPr>
        <w:spacing w:line="360" w:lineRule="auto"/>
        <w:ind w:firstLine="420" w:firstLineChars="200"/>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z w:val="21"/>
          <w:szCs w:val="21"/>
        </w:rPr>
        <w:t>安全生产管理是工程保质保量、如期完工所必不可少的，我司将会在实际施工中作好以下几个安全生产环节，确实作好安全生产控制、检查：</w:t>
      </w:r>
    </w:p>
    <w:p w14:paraId="2B260200">
      <w:pPr>
        <w:numPr>
          <w:ilvl w:val="0"/>
          <w:numId w:val="77"/>
        </w:numPr>
        <w:spacing w:line="360" w:lineRule="auto"/>
        <w:rPr>
          <w:rFonts w:hint="eastAsia" w:ascii="微软雅黑 Light" w:hAnsi="微软雅黑 Light" w:eastAsia="微软雅黑 Light" w:cs="微软雅黑 Light"/>
          <w:snapToGrid w:val="0"/>
          <w:kern w:val="0"/>
          <w:sz w:val="21"/>
          <w:szCs w:val="21"/>
        </w:rPr>
      </w:pPr>
      <w:r>
        <w:rPr>
          <w:rFonts w:hint="eastAsia" w:ascii="微软雅黑 Light" w:hAnsi="微软雅黑 Light" w:eastAsia="微软雅黑 Light" w:cs="微软雅黑 Light"/>
          <w:snapToGrid w:val="0"/>
          <w:kern w:val="0"/>
          <w:sz w:val="21"/>
          <w:szCs w:val="21"/>
        </w:rPr>
        <w:t>进入工地的人员安全</w:t>
      </w:r>
    </w:p>
    <w:p w14:paraId="5543195D">
      <w:pPr>
        <w:numPr>
          <w:ilvl w:val="0"/>
          <w:numId w:val="77"/>
        </w:numPr>
        <w:spacing w:line="360" w:lineRule="auto"/>
        <w:rPr>
          <w:rFonts w:hint="eastAsia" w:ascii="微软雅黑 Light" w:hAnsi="微软雅黑 Light" w:eastAsia="微软雅黑 Light" w:cs="微软雅黑 Light"/>
          <w:snapToGrid w:val="0"/>
          <w:kern w:val="0"/>
          <w:sz w:val="21"/>
          <w:szCs w:val="21"/>
        </w:rPr>
      </w:pPr>
      <w:r>
        <w:rPr>
          <w:rFonts w:hint="eastAsia" w:ascii="微软雅黑 Light" w:hAnsi="微软雅黑 Light" w:eastAsia="微软雅黑 Light" w:cs="微软雅黑 Light"/>
          <w:snapToGrid w:val="0"/>
          <w:kern w:val="0"/>
          <w:sz w:val="21"/>
          <w:szCs w:val="21"/>
        </w:rPr>
        <w:t>仓储设备的安全保管</w:t>
      </w:r>
    </w:p>
    <w:p w14:paraId="1B72EB28">
      <w:pPr>
        <w:numPr>
          <w:ilvl w:val="0"/>
          <w:numId w:val="77"/>
        </w:numPr>
        <w:spacing w:line="360" w:lineRule="auto"/>
        <w:rPr>
          <w:rFonts w:hint="eastAsia" w:ascii="微软雅黑 Light" w:hAnsi="微软雅黑 Light" w:eastAsia="微软雅黑 Light" w:cs="微软雅黑 Light"/>
          <w:sz w:val="21"/>
          <w:szCs w:val="21"/>
        </w:rPr>
      </w:pPr>
      <w:r>
        <w:rPr>
          <w:rFonts w:hint="eastAsia" w:ascii="微软雅黑 Light" w:hAnsi="微软雅黑 Light" w:eastAsia="微软雅黑 Light" w:cs="微软雅黑 Light"/>
          <w:snapToGrid w:val="0"/>
          <w:kern w:val="0"/>
          <w:sz w:val="21"/>
          <w:szCs w:val="21"/>
        </w:rPr>
        <w:t>安装设备的成品保护</w:t>
      </w:r>
    </w:p>
    <w:p w14:paraId="42FE06AE">
      <w:pPr>
        <w:spacing w:line="360" w:lineRule="auto"/>
        <w:rPr>
          <w:rFonts w:hint="eastAsia" w:ascii="微软雅黑 Light" w:hAnsi="微软雅黑 Light" w:eastAsia="微软雅黑 Light" w:cs="微软雅黑 Light"/>
          <w:sz w:val="21"/>
          <w:szCs w:val="21"/>
        </w:rPr>
      </w:pPr>
    </w:p>
    <w:p w14:paraId="42425B92">
      <w:pPr>
        <w:spacing w:line="360" w:lineRule="auto"/>
        <w:rPr>
          <w:rFonts w:hint="eastAsia" w:ascii="微软雅黑 Light" w:hAnsi="微软雅黑 Light" w:eastAsia="微软雅黑 Light" w:cs="微软雅黑 Light"/>
          <w:sz w:val="21"/>
          <w:szCs w:val="21"/>
        </w:rPr>
      </w:pPr>
    </w:p>
    <w:p w14:paraId="101C5FBB">
      <w:r>
        <w:br w:type="page"/>
      </w:r>
    </w:p>
    <w:p w14:paraId="6F7904C2">
      <w:pPr>
        <w:spacing w:after="120" w:line="300" w:lineRule="auto"/>
      </w:pPr>
    </w:p>
    <w:sectPr>
      <w:headerReference r:id="rId9" w:type="first"/>
      <w:footerReference r:id="rId12" w:type="first"/>
      <w:headerReference r:id="rId7" w:type="default"/>
      <w:footerReference r:id="rId10" w:type="default"/>
      <w:headerReference r:id="rId8" w:type="even"/>
      <w:footerReference r:id="rId11" w:type="even"/>
      <w:pgSz w:w="11907" w:h="16840"/>
      <w:pgMar w:top="1797" w:right="1338" w:bottom="1797" w:left="1304" w:header="720" w:footer="1418" w:gutter="113"/>
      <w:cols w:space="720" w:num="1"/>
      <w:titlePg/>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Light">
    <w:panose1 w:val="020B0502040204020203"/>
    <w:charset w:val="86"/>
    <w:family w:val="auto"/>
    <w:pitch w:val="default"/>
    <w:sig w:usb0="80000287" w:usb1="2ACF0010" w:usb2="00000016" w:usb3="00000000" w:csb0="0004001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A1132">
    <w:pPr>
      <w:pStyle w:val="20"/>
      <w:tabs>
        <w:tab w:val="center" w:pos="4153"/>
        <w:tab w:val="right" w:pos="8306"/>
        <w:tab w:val="clear" w:pos="4320"/>
        <w:tab w:val="clear" w:pos="8640"/>
      </w:tabs>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8"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A18B191">
                          <w:pPr>
                            <w:pStyle w:val="20"/>
                            <w:tabs>
                              <w:tab w:val="center" w:pos="4153"/>
                              <w:tab w:val="right" w:pos="8306"/>
                              <w:tab w:val="clear" w:pos="4320"/>
                              <w:tab w:val="clear" w:pos="8640"/>
                            </w:tabs>
                          </w:pPr>
                          <w:r>
                            <w:t xml:space="preserve">第 </w:t>
                          </w:r>
                          <w:r>
                            <w:fldChar w:fldCharType="begin"/>
                          </w:r>
                          <w:r>
                            <w:instrText xml:space="preserve"> PAGE  \* MERGEFORMAT </w:instrText>
                          </w:r>
                          <w:r>
                            <w:fldChar w:fldCharType="separate"/>
                          </w:r>
                          <w:r>
                            <w:t>3</w:t>
                          </w:r>
                          <w:r>
                            <w:fldChar w:fldCharType="end"/>
                          </w:r>
                          <w:r>
                            <w:t xml:space="preserve"> 页</w:t>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Cet58kBAACa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2Dc3fc4sTPP3+cfz2eH76T&#10;ZdanD1Bj2l3AxDS89wNuzewHdGbag4o2f5EQwTiqe7qoK4dERH60Wq5WFYYExuYL4rOn5yFC+iC9&#10;JdloaMTxFVX58ROkMXVOydWcv9XGlBEa95cDMbOH5d7HHrOVht0wEdr59oR8epx8Qx0uOiXmo0Nh&#10;85LMRpyN3WwcQtT7rmxRrgfh3SFhE6W3XGGEnQrjyAq7ab3yTvx5L1lPv9Tm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J63nyQEAAJoDAAAOAAAAAAAAAAEAIAAAAB4BAABkcnMvZTJvRG9j&#10;LnhtbFBLBQYAAAAABgAGAFkBAABZBQAAAAA=&#10;">
              <v:fill on="f" focussize="0,0"/>
              <v:stroke on="f"/>
              <v:imagedata o:title=""/>
              <o:lock v:ext="edit" aspectratio="f"/>
              <v:textbox inset="0mm,0mm,0mm,0mm" style="mso-fit-shape-to-text:t;">
                <w:txbxContent>
                  <w:p w14:paraId="2A18B191">
                    <w:pPr>
                      <w:pStyle w:val="20"/>
                      <w:tabs>
                        <w:tab w:val="center" w:pos="4153"/>
                        <w:tab w:val="right" w:pos="8306"/>
                        <w:tab w:val="clear" w:pos="4320"/>
                        <w:tab w:val="clear" w:pos="8640"/>
                      </w:tabs>
                    </w:pPr>
                    <w:r>
                      <w:t xml:space="preserve">第 </w:t>
                    </w:r>
                    <w:r>
                      <w:fldChar w:fldCharType="begin"/>
                    </w:r>
                    <w:r>
                      <w:instrText xml:space="preserve"> PAGE  \* MERGEFORMAT </w:instrText>
                    </w:r>
                    <w:r>
                      <w:fldChar w:fldCharType="separate"/>
                    </w:r>
                    <w:r>
                      <w:t>3</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EBB65">
    <w:pPr>
      <w:pStyle w:val="20"/>
      <w:tabs>
        <w:tab w:val="center" w:pos="4153"/>
        <w:tab w:val="right" w:pos="8306"/>
        <w:tab w:val="clear" w:pos="4320"/>
        <w:tab w:val="clear" w:pos="8640"/>
      </w:tabs>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1D2A910">
                          <w:pPr>
                            <w:pStyle w:val="20"/>
                            <w:tabs>
                              <w:tab w:val="center" w:pos="4153"/>
                              <w:tab w:val="right" w:pos="8306"/>
                              <w:tab w:val="clear" w:pos="4320"/>
                              <w:tab w:val="clear" w:pos="8640"/>
                            </w:tabs>
                          </w:pPr>
                          <w:r>
                            <w:t xml:space="preserve">第 </w:t>
                          </w:r>
                          <w:r>
                            <w:fldChar w:fldCharType="begin"/>
                          </w:r>
                          <w:r>
                            <w:instrText xml:space="preserve"> PAGE  \* MERGEFORMAT </w:instrText>
                          </w:r>
                          <w:r>
                            <w:fldChar w:fldCharType="separate"/>
                          </w:r>
                          <w:r>
                            <w:t>1</w:t>
                          </w:r>
                          <w:r>
                            <w:fldChar w:fldCharType="end"/>
                          </w:r>
                          <w:r>
                            <w:t xml:space="preserve"> 页</w:t>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su85skBAACaAwAADgAAAGRycy9lMm9Eb2MueG1srVPNjtMwEL4j8Q6W&#10;79RphVCJ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vnxNieMWJ375/u3y49fl51ey&#10;zPr0AWpMuwuYmIa3fsCtmf2Azkx7UNHmLxIiGEd1z1d15ZCIyI/Wq/W6wpDA2HxBfPbwPERI76S3&#10;JBsNjTi+oio/fYA0ps4puZrzt9qYMkLj/nIgZvaw3PvYY7bSsB8mQnvfnpFPj5NvqMNFp8S8dyhs&#10;XpLZiLOxn41jiPrQlS3K9SC8OSZsovSWK4ywU2EcWWE3rVfeiT/vJevhl9r+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Sy7zmyQEAAJoDAAAOAAAAAAAAAAEAIAAAAB4BAABkcnMvZTJvRG9j&#10;LnhtbFBLBQYAAAAABgAGAFkBAABZBQAAAAA=&#10;">
              <v:fill on="f" focussize="0,0"/>
              <v:stroke on="f"/>
              <v:imagedata o:title=""/>
              <o:lock v:ext="edit" aspectratio="f"/>
              <v:textbox inset="0mm,0mm,0mm,0mm" style="mso-fit-shape-to-text:t;">
                <w:txbxContent>
                  <w:p w14:paraId="51D2A910">
                    <w:pPr>
                      <w:pStyle w:val="20"/>
                      <w:tabs>
                        <w:tab w:val="center" w:pos="4153"/>
                        <w:tab w:val="right" w:pos="8306"/>
                        <w:tab w:val="clear" w:pos="4320"/>
                        <w:tab w:val="clear" w:pos="8640"/>
                      </w:tabs>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FEA3B">
    <w:pPr>
      <w:pStyle w:val="20"/>
      <w:keepNext w:val="0"/>
      <w:keepLines w:val="0"/>
      <w:pageBreakBefore w:val="0"/>
      <w:widowControl w:val="0"/>
      <w:kinsoku/>
      <w:wordWrap/>
      <w:overflowPunct/>
      <w:topLinePunct w:val="0"/>
      <w:bidi w:val="0"/>
      <w:adjustRightInd/>
      <w:snapToGrid w:val="0"/>
      <w:jc w:val="right"/>
      <w:textAlignment w:val="auto"/>
      <w:rPr>
        <w:rFonts w:hint="default" w:eastAsia="微软雅黑 Light"/>
        <w:lang w:val="en-US" w:eastAsia="zh-CN"/>
      </w:rPr>
    </w:pPr>
    <w:r>
      <w:rPr>
        <w:rFonts w:hint="eastAsia"/>
        <w:lang w:val="en-US" w:eastAsia="zh-CN"/>
      </w:rPr>
      <w:t>通微智慧楼宇能耗智慧管理方案</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E3E29">
    <w:pPr>
      <w:pStyle w:val="2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F4A6C">
    <w:pPr>
      <w:pStyle w:val="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F75CD">
    <w:pPr>
      <w:pStyle w:val="21"/>
      <w:pBdr>
        <w:bottom w:val="thickThinSmallGap" w:color="auto" w:sz="12" w:space="0"/>
      </w:pBdr>
      <w:ind w:left="0" w:leftChars="0" w:firstLine="0" w:firstLineChars="0"/>
    </w:pPr>
    <w:r>
      <w:rPr>
        <w:rFonts w:hint="eastAsia"/>
        <w:lang w:val="en-US" w:eastAsia="zh-CN"/>
      </w:rPr>
      <w:t xml:space="preserve"> 通微智慧                                                             </w:t>
    </w:r>
    <w:r>
      <w:rPr>
        <w:rFonts w:hint="eastAsia" w:ascii="华文楷体" w:hAnsi="华文楷体" w:eastAsia="华文楷体" w:cs="华文楷体"/>
        <w:lang w:val="en-US" w:eastAsia="zh-CN"/>
      </w:rPr>
      <w:t>热线电话：400-803-3606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D9E14">
    <w:pPr>
      <w:pStyle w:val="21"/>
      <w:rPr>
        <w:rFonts w:hint="default" w:eastAsia="宋体"/>
        <w:lang w:val="en-US" w:eastAsia="zh-CN"/>
      </w:rPr>
    </w:pPr>
    <w:r>
      <w:rPr>
        <w:rFonts w:hint="eastAsia"/>
        <w:lang w:val="en-US" w:eastAsia="zh-CN"/>
      </w:rPr>
      <w:t xml:space="preserve">通微智慧                                                                              </w:t>
    </w:r>
    <w:r>
      <w:rPr>
        <w:rFonts w:hint="default" w:eastAsia="宋体"/>
        <w:lang w:val="en-US" w:eastAsia="zh-CN"/>
      </w:rPr>
      <w:drawing>
        <wp:inline distT="0" distB="0" distL="114300" distR="114300">
          <wp:extent cx="280035" cy="273050"/>
          <wp:effectExtent l="0" t="0" r="5715" b="12700"/>
          <wp:docPr id="50" name="图片 51" descr="logo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1" descr="logoico"/>
                  <pic:cNvPicPr>
                    <a:picLocks noChangeAspect="1"/>
                  </pic:cNvPicPr>
                </pic:nvPicPr>
                <pic:blipFill>
                  <a:blip r:embed="rId1"/>
                  <a:stretch>
                    <a:fillRect/>
                  </a:stretch>
                </pic:blipFill>
                <pic:spPr>
                  <a:xfrm>
                    <a:off x="0" y="0"/>
                    <a:ext cx="280035" cy="27305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B1BEB">
    <w:pPr>
      <w:pStyle w:val="21"/>
    </w:pPr>
    <w:r>
      <w:rPr>
        <w:rFonts w:hint="eastAsia" w:eastAsia="宋体"/>
        <w:lang w:val="en-US" w:eastAsia="zh-CN"/>
      </w:rPr>
      <w:t xml:space="preserve">通微智慧                                                                                       </w:t>
    </w:r>
    <w:r>
      <w:rPr>
        <w:rFonts w:hint="default" w:eastAsia="宋体"/>
        <w:lang w:val="en-US" w:eastAsia="zh-CN"/>
      </w:rPr>
      <w:drawing>
        <wp:inline distT="0" distB="0" distL="114300" distR="114300">
          <wp:extent cx="280035" cy="273050"/>
          <wp:effectExtent l="0" t="0" r="5715" b="12700"/>
          <wp:docPr id="51" name="图片 53" descr="logo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3" descr="logoico"/>
                  <pic:cNvPicPr>
                    <a:picLocks noChangeAspect="1"/>
                  </pic:cNvPicPr>
                </pic:nvPicPr>
                <pic:blipFill>
                  <a:blip r:embed="rId1"/>
                  <a:stretch>
                    <a:fillRect/>
                  </a:stretch>
                </pic:blipFill>
                <pic:spPr>
                  <a:xfrm>
                    <a:off x="0" y="0"/>
                    <a:ext cx="280035" cy="273050"/>
                  </a:xfrm>
                  <a:prstGeom prst="rect">
                    <a:avLst/>
                  </a:prstGeom>
                  <a:noFill/>
                  <a:ln>
                    <a:noFill/>
                  </a:ln>
                </pic:spPr>
              </pic:pic>
            </a:graphicData>
          </a:graphic>
        </wp:inline>
      </w:drawing>
    </w:r>
    <w:r>
      <w: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58B8F">
    <w:pPr>
      <w:pStyle w:val="2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1EC36">
    <w:pPr>
      <w:pStyle w:val="21"/>
    </w:pPr>
    <w:r>
      <w:rPr>
        <w:rFonts w:hint="eastAsia" w:eastAsia="宋体"/>
        <w:lang w:val="en-US" w:eastAsia="zh-CN"/>
      </w:rPr>
      <w:t xml:space="preserve">通微智慧                                                                                       </w:t>
    </w:r>
    <w:r>
      <w:rPr>
        <w:rFonts w:hint="default" w:eastAsia="宋体"/>
        <w:lang w:val="en-US" w:eastAsia="zh-CN"/>
      </w:rPr>
      <w:drawing>
        <wp:inline distT="0" distB="0" distL="114300" distR="114300">
          <wp:extent cx="280035" cy="273050"/>
          <wp:effectExtent l="0" t="0" r="5715" b="12700"/>
          <wp:docPr id="52" name="图片 52" descr="logo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logoico"/>
                  <pic:cNvPicPr>
                    <a:picLocks noChangeAspect="1"/>
                  </pic:cNvPicPr>
                </pic:nvPicPr>
                <pic:blipFill>
                  <a:blip r:embed="rId1"/>
                  <a:stretch>
                    <a:fillRect/>
                  </a:stretch>
                </pic:blipFill>
                <pic:spPr>
                  <a:xfrm>
                    <a:off x="0" y="0"/>
                    <a:ext cx="280035" cy="2730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F27BB3"/>
    <w:multiLevelType w:val="singleLevel"/>
    <w:tmpl w:val="FDF27BB3"/>
    <w:lvl w:ilvl="0" w:tentative="0">
      <w:start w:val="1"/>
      <w:numFmt w:val="chineseCounting"/>
      <w:pStyle w:val="2"/>
      <w:suff w:val="nothing"/>
      <w:lvlText w:val="%1、"/>
      <w:lvlJc w:val="left"/>
      <w:rPr>
        <w:rFonts w:hint="eastAsia"/>
      </w:rPr>
    </w:lvl>
  </w:abstractNum>
  <w:abstractNum w:abstractNumId="1">
    <w:nsid w:val="0000000A"/>
    <w:multiLevelType w:val="singleLevel"/>
    <w:tmpl w:val="0000000A"/>
    <w:lvl w:ilvl="0" w:tentative="0">
      <w:start w:val="1"/>
      <w:numFmt w:val="decimal"/>
      <w:suff w:val="nothing"/>
      <w:lvlText w:val="%1）"/>
      <w:lvlJc w:val="left"/>
    </w:lvl>
  </w:abstractNum>
  <w:abstractNum w:abstractNumId="2">
    <w:nsid w:val="0000000B"/>
    <w:multiLevelType w:val="singleLevel"/>
    <w:tmpl w:val="0000000B"/>
    <w:lvl w:ilvl="0" w:tentative="0">
      <w:start w:val="1"/>
      <w:numFmt w:val="decimal"/>
      <w:lvlText w:val="%1)"/>
      <w:lvlJc w:val="left"/>
      <w:pPr>
        <w:tabs>
          <w:tab w:val="left" w:pos="845"/>
        </w:tabs>
        <w:ind w:left="425" w:hanging="425"/>
      </w:pPr>
      <w:rPr>
        <w:rFonts w:hint="default"/>
      </w:rPr>
    </w:lvl>
  </w:abstractNum>
  <w:abstractNum w:abstractNumId="3">
    <w:nsid w:val="0000000C"/>
    <w:multiLevelType w:val="singleLevel"/>
    <w:tmpl w:val="0000000C"/>
    <w:lvl w:ilvl="0" w:tentative="0">
      <w:start w:val="1"/>
      <w:numFmt w:val="decimal"/>
      <w:lvlText w:val="%1)"/>
      <w:lvlJc w:val="left"/>
      <w:pPr>
        <w:tabs>
          <w:tab w:val="left" w:pos="845"/>
        </w:tabs>
        <w:ind w:left="425" w:hanging="425"/>
      </w:pPr>
      <w:rPr>
        <w:rFonts w:hint="default"/>
      </w:rPr>
    </w:lvl>
  </w:abstractNum>
  <w:abstractNum w:abstractNumId="4">
    <w:nsid w:val="0000000D"/>
    <w:multiLevelType w:val="singleLevel"/>
    <w:tmpl w:val="0000000D"/>
    <w:lvl w:ilvl="0" w:tentative="0">
      <w:start w:val="1"/>
      <w:numFmt w:val="decimalEnclosedCircleChinese"/>
      <w:suff w:val="nothing"/>
      <w:lvlText w:val="%1　"/>
      <w:lvlJc w:val="left"/>
      <w:pPr>
        <w:ind w:left="0" w:firstLine="400"/>
      </w:pPr>
      <w:rPr>
        <w:rFonts w:hint="eastAsia"/>
      </w:rPr>
    </w:lvl>
  </w:abstractNum>
  <w:abstractNum w:abstractNumId="5">
    <w:nsid w:val="0000000E"/>
    <w:multiLevelType w:val="multilevel"/>
    <w:tmpl w:val="0000000E"/>
    <w:lvl w:ilvl="0" w:tentative="0">
      <w:start w:val="1"/>
      <w:numFmt w:val="bullet"/>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6">
    <w:nsid w:val="0000000F"/>
    <w:multiLevelType w:val="multilevel"/>
    <w:tmpl w:val="0000000F"/>
    <w:lvl w:ilvl="0" w:tentative="0">
      <w:start w:val="1"/>
      <w:numFmt w:val="bullet"/>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7">
    <w:nsid w:val="00000010"/>
    <w:multiLevelType w:val="singleLevel"/>
    <w:tmpl w:val="00000010"/>
    <w:lvl w:ilvl="0" w:tentative="0">
      <w:start w:val="1"/>
      <w:numFmt w:val="decimal"/>
      <w:suff w:val="nothing"/>
      <w:lvlText w:val="%1）"/>
      <w:lvlJc w:val="left"/>
    </w:lvl>
  </w:abstractNum>
  <w:abstractNum w:abstractNumId="8">
    <w:nsid w:val="00000011"/>
    <w:multiLevelType w:val="singleLevel"/>
    <w:tmpl w:val="00000011"/>
    <w:lvl w:ilvl="0" w:tentative="0">
      <w:start w:val="1"/>
      <w:numFmt w:val="decimal"/>
      <w:suff w:val="nothing"/>
      <w:lvlText w:val="%1）"/>
      <w:lvlJc w:val="left"/>
    </w:lvl>
  </w:abstractNum>
  <w:abstractNum w:abstractNumId="9">
    <w:nsid w:val="00000012"/>
    <w:multiLevelType w:val="singleLevel"/>
    <w:tmpl w:val="00000012"/>
    <w:lvl w:ilvl="0" w:tentative="0">
      <w:start w:val="1"/>
      <w:numFmt w:val="decimal"/>
      <w:lvlText w:val="%1)"/>
      <w:lvlJc w:val="left"/>
      <w:pPr>
        <w:tabs>
          <w:tab w:val="left" w:pos="845"/>
        </w:tabs>
        <w:ind w:left="425" w:hanging="425"/>
      </w:pPr>
      <w:rPr>
        <w:rFonts w:hint="default"/>
      </w:rPr>
    </w:lvl>
  </w:abstractNum>
  <w:abstractNum w:abstractNumId="10">
    <w:nsid w:val="00000013"/>
    <w:multiLevelType w:val="singleLevel"/>
    <w:tmpl w:val="00000013"/>
    <w:lvl w:ilvl="0" w:tentative="0">
      <w:start w:val="1"/>
      <w:numFmt w:val="decimalEnclosedCircleChinese"/>
      <w:suff w:val="nothing"/>
      <w:lvlText w:val="%1　"/>
      <w:lvlJc w:val="left"/>
      <w:pPr>
        <w:ind w:left="0" w:firstLine="400"/>
      </w:pPr>
      <w:rPr>
        <w:rFonts w:hint="eastAsia"/>
      </w:rPr>
    </w:lvl>
  </w:abstractNum>
  <w:abstractNum w:abstractNumId="11">
    <w:nsid w:val="00000014"/>
    <w:multiLevelType w:val="singleLevel"/>
    <w:tmpl w:val="00000014"/>
    <w:lvl w:ilvl="0" w:tentative="0">
      <w:start w:val="1"/>
      <w:numFmt w:val="decimal"/>
      <w:lvlText w:val="%1)"/>
      <w:lvlJc w:val="left"/>
      <w:pPr>
        <w:tabs>
          <w:tab w:val="left" w:pos="845"/>
        </w:tabs>
        <w:ind w:left="425" w:hanging="425"/>
      </w:pPr>
      <w:rPr>
        <w:rFonts w:hint="default"/>
      </w:rPr>
    </w:lvl>
  </w:abstractNum>
  <w:abstractNum w:abstractNumId="12">
    <w:nsid w:val="00000015"/>
    <w:multiLevelType w:val="singleLevel"/>
    <w:tmpl w:val="00000015"/>
    <w:lvl w:ilvl="0" w:tentative="0">
      <w:start w:val="1"/>
      <w:numFmt w:val="decimalEnclosedCircleChinese"/>
      <w:suff w:val="nothing"/>
      <w:lvlText w:val="%1　"/>
      <w:lvlJc w:val="left"/>
      <w:pPr>
        <w:ind w:left="0" w:firstLine="400"/>
      </w:pPr>
      <w:rPr>
        <w:rFonts w:hint="eastAsia"/>
      </w:rPr>
    </w:lvl>
  </w:abstractNum>
  <w:abstractNum w:abstractNumId="13">
    <w:nsid w:val="00000016"/>
    <w:multiLevelType w:val="multilevel"/>
    <w:tmpl w:val="00000016"/>
    <w:lvl w:ilvl="0" w:tentative="0">
      <w:start w:val="1"/>
      <w:numFmt w:val="bullet"/>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14">
    <w:nsid w:val="00000017"/>
    <w:multiLevelType w:val="singleLevel"/>
    <w:tmpl w:val="00000017"/>
    <w:lvl w:ilvl="0" w:tentative="0">
      <w:start w:val="1"/>
      <w:numFmt w:val="decimalEnclosedCircleChinese"/>
      <w:suff w:val="nothing"/>
      <w:lvlText w:val="%1　"/>
      <w:lvlJc w:val="left"/>
      <w:pPr>
        <w:ind w:left="0" w:firstLine="400"/>
      </w:pPr>
      <w:rPr>
        <w:rFonts w:hint="eastAsia"/>
      </w:rPr>
    </w:lvl>
  </w:abstractNum>
  <w:abstractNum w:abstractNumId="15">
    <w:nsid w:val="00000018"/>
    <w:multiLevelType w:val="singleLevel"/>
    <w:tmpl w:val="00000018"/>
    <w:lvl w:ilvl="0" w:tentative="0">
      <w:start w:val="1"/>
      <w:numFmt w:val="decimal"/>
      <w:suff w:val="nothing"/>
      <w:lvlText w:val="%1）"/>
      <w:lvlJc w:val="left"/>
    </w:lvl>
  </w:abstractNum>
  <w:abstractNum w:abstractNumId="16">
    <w:nsid w:val="00000019"/>
    <w:multiLevelType w:val="singleLevel"/>
    <w:tmpl w:val="00000019"/>
    <w:lvl w:ilvl="0" w:tentative="0">
      <w:start w:val="1"/>
      <w:numFmt w:val="decimalEnclosedCircleChinese"/>
      <w:suff w:val="nothing"/>
      <w:lvlText w:val="%1　"/>
      <w:lvlJc w:val="left"/>
      <w:pPr>
        <w:ind w:left="0" w:firstLine="400"/>
      </w:pPr>
      <w:rPr>
        <w:rFonts w:hint="eastAsia"/>
      </w:rPr>
    </w:lvl>
  </w:abstractNum>
  <w:abstractNum w:abstractNumId="17">
    <w:nsid w:val="0000001B"/>
    <w:multiLevelType w:val="multilevel"/>
    <w:tmpl w:val="0000001B"/>
    <w:lvl w:ilvl="0" w:tentative="0">
      <w:start w:val="1"/>
      <w:numFmt w:val="bullet"/>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18">
    <w:nsid w:val="0000001C"/>
    <w:multiLevelType w:val="multilevel"/>
    <w:tmpl w:val="0000001C"/>
    <w:lvl w:ilvl="0" w:tentative="0">
      <w:start w:val="1"/>
      <w:numFmt w:val="bullet"/>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19">
    <w:nsid w:val="0000001E"/>
    <w:multiLevelType w:val="singleLevel"/>
    <w:tmpl w:val="0000001E"/>
    <w:lvl w:ilvl="0" w:tentative="0">
      <w:start w:val="1"/>
      <w:numFmt w:val="decimal"/>
      <w:suff w:val="nothing"/>
      <w:lvlText w:val="%1）"/>
      <w:lvlJc w:val="left"/>
    </w:lvl>
  </w:abstractNum>
  <w:abstractNum w:abstractNumId="20">
    <w:nsid w:val="0000001F"/>
    <w:multiLevelType w:val="singleLevel"/>
    <w:tmpl w:val="0000001F"/>
    <w:lvl w:ilvl="0" w:tentative="0">
      <w:start w:val="1"/>
      <w:numFmt w:val="bullet"/>
      <w:lvlText w:val=""/>
      <w:lvlJc w:val="left"/>
      <w:pPr>
        <w:tabs>
          <w:tab w:val="left" w:pos="840"/>
        </w:tabs>
        <w:ind w:left="420" w:hanging="420"/>
      </w:pPr>
      <w:rPr>
        <w:rFonts w:hint="default" w:ascii="Wingdings" w:hAnsi="Wingdings"/>
      </w:rPr>
    </w:lvl>
  </w:abstractNum>
  <w:abstractNum w:abstractNumId="21">
    <w:nsid w:val="00000020"/>
    <w:multiLevelType w:val="multilevel"/>
    <w:tmpl w:val="00000020"/>
    <w:lvl w:ilvl="0" w:tentative="0">
      <w:start w:val="1"/>
      <w:numFmt w:val="decimal"/>
      <w:lvlText w:val="%1)"/>
      <w:lvlJc w:val="left"/>
      <w:pPr>
        <w:tabs>
          <w:tab w:val="left" w:pos="840"/>
        </w:tabs>
        <w:ind w:left="420" w:hanging="420"/>
      </w:pPr>
    </w:lvl>
    <w:lvl w:ilvl="1" w:tentative="0">
      <w:start w:val="1"/>
      <w:numFmt w:val="lowerLetter"/>
      <w:lvlText w:val="%2)"/>
      <w:lvlJc w:val="left"/>
      <w:pPr>
        <w:tabs>
          <w:tab w:val="left" w:pos="1260"/>
        </w:tabs>
        <w:ind w:left="840" w:hanging="420"/>
      </w:pPr>
    </w:lvl>
    <w:lvl w:ilvl="2" w:tentative="0">
      <w:start w:val="1"/>
      <w:numFmt w:val="lowerRoman"/>
      <w:lvlText w:val="%3."/>
      <w:lvlJc w:val="right"/>
      <w:pPr>
        <w:tabs>
          <w:tab w:val="left" w:pos="1680"/>
        </w:tabs>
        <w:ind w:left="1260" w:hanging="420"/>
      </w:pPr>
    </w:lvl>
    <w:lvl w:ilvl="3" w:tentative="0">
      <w:start w:val="1"/>
      <w:numFmt w:val="decimal"/>
      <w:lvlText w:val="%4."/>
      <w:lvlJc w:val="left"/>
      <w:pPr>
        <w:tabs>
          <w:tab w:val="left" w:pos="2100"/>
        </w:tabs>
        <w:ind w:left="1680" w:hanging="420"/>
      </w:pPr>
    </w:lvl>
    <w:lvl w:ilvl="4" w:tentative="0">
      <w:start w:val="1"/>
      <w:numFmt w:val="lowerLetter"/>
      <w:lvlText w:val="%5)"/>
      <w:lvlJc w:val="left"/>
      <w:pPr>
        <w:tabs>
          <w:tab w:val="left" w:pos="2520"/>
        </w:tabs>
        <w:ind w:left="2100" w:hanging="420"/>
      </w:pPr>
    </w:lvl>
    <w:lvl w:ilvl="5" w:tentative="0">
      <w:start w:val="1"/>
      <w:numFmt w:val="lowerRoman"/>
      <w:lvlText w:val="%6."/>
      <w:lvlJc w:val="right"/>
      <w:pPr>
        <w:tabs>
          <w:tab w:val="left" w:pos="2940"/>
        </w:tabs>
        <w:ind w:left="2520" w:hanging="420"/>
      </w:pPr>
    </w:lvl>
    <w:lvl w:ilvl="6" w:tentative="0">
      <w:start w:val="1"/>
      <w:numFmt w:val="decimal"/>
      <w:lvlText w:val="%7."/>
      <w:lvlJc w:val="left"/>
      <w:pPr>
        <w:tabs>
          <w:tab w:val="left" w:pos="3360"/>
        </w:tabs>
        <w:ind w:left="2940" w:hanging="420"/>
      </w:pPr>
    </w:lvl>
    <w:lvl w:ilvl="7" w:tentative="0">
      <w:start w:val="1"/>
      <w:numFmt w:val="lowerLetter"/>
      <w:lvlText w:val="%8)"/>
      <w:lvlJc w:val="left"/>
      <w:pPr>
        <w:tabs>
          <w:tab w:val="left" w:pos="3780"/>
        </w:tabs>
        <w:ind w:left="3360" w:hanging="420"/>
      </w:pPr>
    </w:lvl>
    <w:lvl w:ilvl="8" w:tentative="0">
      <w:start w:val="1"/>
      <w:numFmt w:val="lowerRoman"/>
      <w:lvlText w:val="%9."/>
      <w:lvlJc w:val="right"/>
      <w:pPr>
        <w:tabs>
          <w:tab w:val="left" w:pos="4200"/>
        </w:tabs>
        <w:ind w:left="3780" w:hanging="420"/>
      </w:pPr>
    </w:lvl>
  </w:abstractNum>
  <w:abstractNum w:abstractNumId="22">
    <w:nsid w:val="00000021"/>
    <w:multiLevelType w:val="singleLevel"/>
    <w:tmpl w:val="00000021"/>
    <w:lvl w:ilvl="0" w:tentative="0">
      <w:start w:val="1"/>
      <w:numFmt w:val="decimal"/>
      <w:lvlText w:val="%1)"/>
      <w:lvlJc w:val="left"/>
      <w:pPr>
        <w:tabs>
          <w:tab w:val="left" w:pos="845"/>
        </w:tabs>
        <w:ind w:left="425" w:hanging="425"/>
      </w:pPr>
      <w:rPr>
        <w:rFonts w:hint="default"/>
      </w:rPr>
    </w:lvl>
  </w:abstractNum>
  <w:abstractNum w:abstractNumId="23">
    <w:nsid w:val="00000022"/>
    <w:multiLevelType w:val="singleLevel"/>
    <w:tmpl w:val="00000022"/>
    <w:lvl w:ilvl="0" w:tentative="0">
      <w:start w:val="1"/>
      <w:numFmt w:val="decimalEnclosedCircleChinese"/>
      <w:suff w:val="nothing"/>
      <w:lvlText w:val="%1　"/>
      <w:lvlJc w:val="left"/>
      <w:pPr>
        <w:ind w:left="0" w:firstLine="400"/>
      </w:pPr>
      <w:rPr>
        <w:rFonts w:hint="eastAsia"/>
      </w:rPr>
    </w:lvl>
  </w:abstractNum>
  <w:abstractNum w:abstractNumId="24">
    <w:nsid w:val="00000023"/>
    <w:multiLevelType w:val="singleLevel"/>
    <w:tmpl w:val="00000023"/>
    <w:lvl w:ilvl="0" w:tentative="0">
      <w:start w:val="1"/>
      <w:numFmt w:val="decimal"/>
      <w:suff w:val="nothing"/>
      <w:lvlText w:val="%1）"/>
      <w:lvlJc w:val="left"/>
    </w:lvl>
  </w:abstractNum>
  <w:abstractNum w:abstractNumId="25">
    <w:nsid w:val="00000024"/>
    <w:multiLevelType w:val="multilevel"/>
    <w:tmpl w:val="00000024"/>
    <w:lvl w:ilvl="0" w:tentative="0">
      <w:start w:val="1"/>
      <w:numFmt w:val="decimal"/>
      <w:lvlText w:val="%1)"/>
      <w:lvlJc w:val="left"/>
      <w:pPr>
        <w:tabs>
          <w:tab w:val="left" w:pos="620"/>
        </w:tabs>
        <w:ind w:left="620" w:hanging="420"/>
      </w:pPr>
      <w:rPr>
        <w:rFonts w:hint="eastAsia"/>
      </w:rPr>
    </w:lvl>
    <w:lvl w:ilvl="1" w:tentative="0">
      <w:start w:val="1"/>
      <w:numFmt w:val="decimal"/>
      <w:lvlText w:val="%1.%2"/>
      <w:lvlJc w:val="left"/>
      <w:pPr>
        <w:tabs>
          <w:tab w:val="left" w:pos="1107"/>
        </w:tabs>
        <w:ind w:left="1107" w:hanging="567"/>
      </w:pPr>
      <w:rPr>
        <w:rFonts w:hint="eastAsia"/>
      </w:rPr>
    </w:lvl>
    <w:lvl w:ilvl="2" w:tentative="0">
      <w:start w:val="1"/>
      <w:numFmt w:val="decimal"/>
      <w:lvlText w:val="%1.%2.%3"/>
      <w:lvlJc w:val="left"/>
      <w:pPr>
        <w:tabs>
          <w:tab w:val="left" w:pos="909"/>
        </w:tabs>
        <w:ind w:left="909" w:hanging="709"/>
      </w:pPr>
      <w:rPr>
        <w:rFonts w:hint="eastAsia"/>
      </w:rPr>
    </w:lvl>
    <w:lvl w:ilvl="3" w:tentative="0">
      <w:start w:val="1"/>
      <w:numFmt w:val="decimal"/>
      <w:lvlText w:val="%1.%2.%3.%4"/>
      <w:lvlJc w:val="left"/>
      <w:pPr>
        <w:tabs>
          <w:tab w:val="left" w:pos="1051"/>
        </w:tabs>
        <w:ind w:left="1051" w:hanging="851"/>
      </w:pPr>
      <w:rPr>
        <w:rFonts w:hint="eastAsia"/>
      </w:rPr>
    </w:lvl>
    <w:lvl w:ilvl="4" w:tentative="0">
      <w:start w:val="1"/>
      <w:numFmt w:val="decimal"/>
      <w:lvlText w:val="%1.%2.%3.%4.%5"/>
      <w:lvlJc w:val="left"/>
      <w:pPr>
        <w:tabs>
          <w:tab w:val="left" w:pos="1192"/>
        </w:tabs>
        <w:ind w:left="1192" w:hanging="992"/>
      </w:pPr>
      <w:rPr>
        <w:rFonts w:hint="eastAsia"/>
      </w:rPr>
    </w:lvl>
    <w:lvl w:ilvl="5" w:tentative="0">
      <w:start w:val="1"/>
      <w:numFmt w:val="decimal"/>
      <w:lvlText w:val="%1.%2.%3.%4.%5.%6."/>
      <w:lvlJc w:val="left"/>
      <w:pPr>
        <w:tabs>
          <w:tab w:val="left" w:pos="1334"/>
        </w:tabs>
        <w:ind w:left="1334" w:hanging="1134"/>
      </w:pPr>
      <w:rPr>
        <w:rFonts w:hint="eastAsia"/>
      </w:rPr>
    </w:lvl>
    <w:lvl w:ilvl="6" w:tentative="0">
      <w:start w:val="1"/>
      <w:numFmt w:val="decimal"/>
      <w:lvlText w:val="%1.%2.%3.%4.%5.%6.%7."/>
      <w:lvlJc w:val="left"/>
      <w:pPr>
        <w:tabs>
          <w:tab w:val="left" w:pos="1476"/>
        </w:tabs>
        <w:ind w:left="1476" w:hanging="1276"/>
      </w:pPr>
      <w:rPr>
        <w:rFonts w:hint="eastAsia"/>
      </w:rPr>
    </w:lvl>
    <w:lvl w:ilvl="7" w:tentative="0">
      <w:start w:val="1"/>
      <w:numFmt w:val="decimal"/>
      <w:lvlText w:val="%1.%2.%3.%4.%5.%6.%7.%8."/>
      <w:lvlJc w:val="left"/>
      <w:pPr>
        <w:tabs>
          <w:tab w:val="left" w:pos="1618"/>
        </w:tabs>
        <w:ind w:left="1618" w:hanging="1418"/>
      </w:pPr>
      <w:rPr>
        <w:rFonts w:hint="eastAsia"/>
      </w:rPr>
    </w:lvl>
    <w:lvl w:ilvl="8" w:tentative="0">
      <w:start w:val="1"/>
      <w:numFmt w:val="decimal"/>
      <w:lvlText w:val="%1.%2.%3.%4.%5.%6.%7.%8.%9."/>
      <w:lvlJc w:val="left"/>
      <w:pPr>
        <w:tabs>
          <w:tab w:val="left" w:pos="1759"/>
        </w:tabs>
        <w:ind w:left="1759" w:hanging="1559"/>
      </w:pPr>
      <w:rPr>
        <w:rFonts w:hint="eastAsia"/>
      </w:rPr>
    </w:lvl>
  </w:abstractNum>
  <w:abstractNum w:abstractNumId="26">
    <w:nsid w:val="00000026"/>
    <w:multiLevelType w:val="singleLevel"/>
    <w:tmpl w:val="00000026"/>
    <w:lvl w:ilvl="0" w:tentative="0">
      <w:start w:val="1"/>
      <w:numFmt w:val="decimal"/>
      <w:suff w:val="nothing"/>
      <w:lvlText w:val="%1）"/>
      <w:lvlJc w:val="left"/>
    </w:lvl>
  </w:abstractNum>
  <w:abstractNum w:abstractNumId="27">
    <w:nsid w:val="00000027"/>
    <w:multiLevelType w:val="multilevel"/>
    <w:tmpl w:val="00000027"/>
    <w:lvl w:ilvl="0" w:tentative="0">
      <w:start w:val="1"/>
      <w:numFmt w:val="bullet"/>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28">
    <w:nsid w:val="00000028"/>
    <w:multiLevelType w:val="singleLevel"/>
    <w:tmpl w:val="00000028"/>
    <w:lvl w:ilvl="0" w:tentative="0">
      <w:start w:val="1"/>
      <w:numFmt w:val="decimal"/>
      <w:lvlText w:val="%1)"/>
      <w:lvlJc w:val="left"/>
      <w:pPr>
        <w:tabs>
          <w:tab w:val="left" w:pos="845"/>
        </w:tabs>
        <w:ind w:left="425" w:hanging="425"/>
      </w:pPr>
      <w:rPr>
        <w:rFonts w:hint="default"/>
      </w:rPr>
    </w:lvl>
  </w:abstractNum>
  <w:abstractNum w:abstractNumId="29">
    <w:nsid w:val="00000029"/>
    <w:multiLevelType w:val="singleLevel"/>
    <w:tmpl w:val="00000029"/>
    <w:lvl w:ilvl="0" w:tentative="0">
      <w:start w:val="1"/>
      <w:numFmt w:val="decimalEnclosedCircleChinese"/>
      <w:suff w:val="nothing"/>
      <w:lvlText w:val="%1　"/>
      <w:lvlJc w:val="left"/>
      <w:pPr>
        <w:ind w:left="0" w:firstLine="400"/>
      </w:pPr>
      <w:rPr>
        <w:rFonts w:hint="eastAsia"/>
      </w:rPr>
    </w:lvl>
  </w:abstractNum>
  <w:abstractNum w:abstractNumId="30">
    <w:nsid w:val="0000002B"/>
    <w:multiLevelType w:val="singleLevel"/>
    <w:tmpl w:val="0000002B"/>
    <w:lvl w:ilvl="0" w:tentative="0">
      <w:start w:val="1"/>
      <w:numFmt w:val="decimal"/>
      <w:lvlText w:val="%1)"/>
      <w:lvlJc w:val="left"/>
      <w:pPr>
        <w:tabs>
          <w:tab w:val="left" w:pos="845"/>
        </w:tabs>
        <w:ind w:left="425" w:hanging="425"/>
      </w:pPr>
      <w:rPr>
        <w:rFonts w:hint="default"/>
      </w:rPr>
    </w:lvl>
  </w:abstractNum>
  <w:abstractNum w:abstractNumId="31">
    <w:nsid w:val="0000002C"/>
    <w:multiLevelType w:val="singleLevel"/>
    <w:tmpl w:val="0000002C"/>
    <w:lvl w:ilvl="0" w:tentative="0">
      <w:start w:val="1"/>
      <w:numFmt w:val="bullet"/>
      <w:lvlText w:val=""/>
      <w:lvlJc w:val="left"/>
      <w:pPr>
        <w:tabs>
          <w:tab w:val="left" w:pos="840"/>
        </w:tabs>
        <w:ind w:left="420" w:hanging="420"/>
      </w:pPr>
      <w:rPr>
        <w:rFonts w:hint="default" w:ascii="Wingdings" w:hAnsi="Wingdings"/>
      </w:rPr>
    </w:lvl>
  </w:abstractNum>
  <w:abstractNum w:abstractNumId="32">
    <w:nsid w:val="0000002D"/>
    <w:multiLevelType w:val="singleLevel"/>
    <w:tmpl w:val="0000002D"/>
    <w:lvl w:ilvl="0" w:tentative="0">
      <w:start w:val="1"/>
      <w:numFmt w:val="decimal"/>
      <w:lvlText w:val="%1)"/>
      <w:lvlJc w:val="left"/>
      <w:pPr>
        <w:tabs>
          <w:tab w:val="left" w:pos="845"/>
        </w:tabs>
        <w:ind w:left="425" w:hanging="425"/>
      </w:pPr>
      <w:rPr>
        <w:rFonts w:hint="default"/>
      </w:rPr>
    </w:lvl>
  </w:abstractNum>
  <w:abstractNum w:abstractNumId="33">
    <w:nsid w:val="0000002E"/>
    <w:multiLevelType w:val="singleLevel"/>
    <w:tmpl w:val="0000002E"/>
    <w:lvl w:ilvl="0" w:tentative="0">
      <w:start w:val="1"/>
      <w:numFmt w:val="decimal"/>
      <w:suff w:val="nothing"/>
      <w:lvlText w:val="%1）"/>
      <w:lvlJc w:val="left"/>
    </w:lvl>
  </w:abstractNum>
  <w:abstractNum w:abstractNumId="34">
    <w:nsid w:val="0000002F"/>
    <w:multiLevelType w:val="singleLevel"/>
    <w:tmpl w:val="0000002F"/>
    <w:lvl w:ilvl="0" w:tentative="0">
      <w:start w:val="1"/>
      <w:numFmt w:val="decimal"/>
      <w:suff w:val="nothing"/>
      <w:lvlText w:val="%1）"/>
      <w:lvlJc w:val="left"/>
    </w:lvl>
  </w:abstractNum>
  <w:abstractNum w:abstractNumId="35">
    <w:nsid w:val="00000031"/>
    <w:multiLevelType w:val="singleLevel"/>
    <w:tmpl w:val="00000031"/>
    <w:lvl w:ilvl="0" w:tentative="0">
      <w:start w:val="1"/>
      <w:numFmt w:val="decimal"/>
      <w:suff w:val="nothing"/>
      <w:lvlText w:val="%1）"/>
      <w:lvlJc w:val="left"/>
    </w:lvl>
  </w:abstractNum>
  <w:abstractNum w:abstractNumId="36">
    <w:nsid w:val="00000032"/>
    <w:multiLevelType w:val="singleLevel"/>
    <w:tmpl w:val="00000032"/>
    <w:lvl w:ilvl="0" w:tentative="0">
      <w:start w:val="1"/>
      <w:numFmt w:val="decimal"/>
      <w:lvlText w:val="%1)"/>
      <w:lvlJc w:val="left"/>
      <w:pPr>
        <w:tabs>
          <w:tab w:val="left" w:pos="845"/>
        </w:tabs>
        <w:ind w:left="425" w:hanging="425"/>
      </w:pPr>
      <w:rPr>
        <w:rFonts w:hint="default"/>
      </w:rPr>
    </w:lvl>
  </w:abstractNum>
  <w:abstractNum w:abstractNumId="37">
    <w:nsid w:val="00000033"/>
    <w:multiLevelType w:val="singleLevel"/>
    <w:tmpl w:val="00000033"/>
    <w:lvl w:ilvl="0" w:tentative="0">
      <w:start w:val="1"/>
      <w:numFmt w:val="decimal"/>
      <w:suff w:val="nothing"/>
      <w:lvlText w:val="%1）"/>
      <w:lvlJc w:val="left"/>
    </w:lvl>
  </w:abstractNum>
  <w:abstractNum w:abstractNumId="38">
    <w:nsid w:val="00000034"/>
    <w:multiLevelType w:val="singleLevel"/>
    <w:tmpl w:val="00000034"/>
    <w:lvl w:ilvl="0" w:tentative="0">
      <w:start w:val="1"/>
      <w:numFmt w:val="decimal"/>
      <w:lvlText w:val="%1)"/>
      <w:lvlJc w:val="left"/>
      <w:pPr>
        <w:tabs>
          <w:tab w:val="left" w:pos="845"/>
        </w:tabs>
        <w:ind w:left="425" w:hanging="425"/>
      </w:pPr>
      <w:rPr>
        <w:rFonts w:hint="default"/>
      </w:rPr>
    </w:lvl>
  </w:abstractNum>
  <w:abstractNum w:abstractNumId="39">
    <w:nsid w:val="00000035"/>
    <w:multiLevelType w:val="singleLevel"/>
    <w:tmpl w:val="00000035"/>
    <w:lvl w:ilvl="0" w:tentative="0">
      <w:start w:val="1"/>
      <w:numFmt w:val="decimal"/>
      <w:suff w:val="nothing"/>
      <w:lvlText w:val="%1）"/>
      <w:lvlJc w:val="left"/>
    </w:lvl>
  </w:abstractNum>
  <w:abstractNum w:abstractNumId="40">
    <w:nsid w:val="00000036"/>
    <w:multiLevelType w:val="multilevel"/>
    <w:tmpl w:val="00000036"/>
    <w:lvl w:ilvl="0" w:tentative="0">
      <w:start w:val="1"/>
      <w:numFmt w:val="bullet"/>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41">
    <w:nsid w:val="00000037"/>
    <w:multiLevelType w:val="multilevel"/>
    <w:tmpl w:val="00000037"/>
    <w:lvl w:ilvl="0" w:tentative="0">
      <w:start w:val="1"/>
      <w:numFmt w:val="decimal"/>
      <w:lvlText w:val="%1)"/>
      <w:lvlJc w:val="left"/>
      <w:pPr>
        <w:tabs>
          <w:tab w:val="left" w:pos="964"/>
        </w:tabs>
        <w:ind w:left="1021" w:hanging="567"/>
      </w:pPr>
      <w:rPr>
        <w:rFonts w:hint="default"/>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42">
    <w:nsid w:val="00000038"/>
    <w:multiLevelType w:val="singleLevel"/>
    <w:tmpl w:val="00000038"/>
    <w:lvl w:ilvl="0" w:tentative="0">
      <w:start w:val="1"/>
      <w:numFmt w:val="decimal"/>
      <w:lvlText w:val="%1)"/>
      <w:lvlJc w:val="left"/>
      <w:pPr>
        <w:tabs>
          <w:tab w:val="left" w:pos="845"/>
        </w:tabs>
        <w:ind w:left="425" w:hanging="425"/>
      </w:pPr>
      <w:rPr>
        <w:rFonts w:hint="default"/>
      </w:rPr>
    </w:lvl>
  </w:abstractNum>
  <w:abstractNum w:abstractNumId="43">
    <w:nsid w:val="00000039"/>
    <w:multiLevelType w:val="singleLevel"/>
    <w:tmpl w:val="00000039"/>
    <w:lvl w:ilvl="0" w:tentative="0">
      <w:start w:val="1"/>
      <w:numFmt w:val="decimal"/>
      <w:lvlText w:val="%1)"/>
      <w:lvlJc w:val="left"/>
      <w:pPr>
        <w:tabs>
          <w:tab w:val="left" w:pos="845"/>
        </w:tabs>
        <w:ind w:left="425" w:hanging="425"/>
      </w:pPr>
      <w:rPr>
        <w:rFonts w:hint="default"/>
      </w:rPr>
    </w:lvl>
  </w:abstractNum>
  <w:abstractNum w:abstractNumId="44">
    <w:nsid w:val="0000003A"/>
    <w:multiLevelType w:val="singleLevel"/>
    <w:tmpl w:val="0000003A"/>
    <w:lvl w:ilvl="0" w:tentative="0">
      <w:start w:val="1"/>
      <w:numFmt w:val="bullet"/>
      <w:lvlText w:val=""/>
      <w:lvlJc w:val="left"/>
      <w:pPr>
        <w:tabs>
          <w:tab w:val="left" w:pos="1260"/>
        </w:tabs>
        <w:ind w:left="420" w:hanging="420"/>
      </w:pPr>
      <w:rPr>
        <w:rFonts w:hint="default" w:ascii="Wingdings" w:hAnsi="Wingdings"/>
      </w:rPr>
    </w:lvl>
  </w:abstractNum>
  <w:abstractNum w:abstractNumId="45">
    <w:nsid w:val="0000003C"/>
    <w:multiLevelType w:val="singleLevel"/>
    <w:tmpl w:val="0000003C"/>
    <w:lvl w:ilvl="0" w:tentative="0">
      <w:start w:val="1"/>
      <w:numFmt w:val="decimalEnclosedCircleChinese"/>
      <w:suff w:val="nothing"/>
      <w:lvlText w:val="%1　"/>
      <w:lvlJc w:val="left"/>
      <w:pPr>
        <w:ind w:left="0" w:firstLine="400"/>
      </w:pPr>
      <w:rPr>
        <w:rFonts w:hint="eastAsia"/>
      </w:rPr>
    </w:lvl>
  </w:abstractNum>
  <w:abstractNum w:abstractNumId="46">
    <w:nsid w:val="0000003D"/>
    <w:multiLevelType w:val="multilevel"/>
    <w:tmpl w:val="0000003D"/>
    <w:lvl w:ilvl="0" w:tentative="0">
      <w:start w:val="1"/>
      <w:numFmt w:val="bullet"/>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47">
    <w:nsid w:val="0000003E"/>
    <w:multiLevelType w:val="singleLevel"/>
    <w:tmpl w:val="0000003E"/>
    <w:lvl w:ilvl="0" w:tentative="0">
      <w:start w:val="1"/>
      <w:numFmt w:val="chineseCounting"/>
      <w:suff w:val="nothing"/>
      <w:lvlText w:val="%1、"/>
      <w:lvlJc w:val="left"/>
    </w:lvl>
  </w:abstractNum>
  <w:abstractNum w:abstractNumId="48">
    <w:nsid w:val="0000003F"/>
    <w:multiLevelType w:val="singleLevel"/>
    <w:tmpl w:val="0000003F"/>
    <w:lvl w:ilvl="0" w:tentative="0">
      <w:start w:val="1"/>
      <w:numFmt w:val="decimalEnclosedCircleChinese"/>
      <w:suff w:val="nothing"/>
      <w:lvlText w:val="%1　"/>
      <w:lvlJc w:val="left"/>
      <w:pPr>
        <w:ind w:left="0" w:firstLine="400"/>
      </w:pPr>
      <w:rPr>
        <w:rFonts w:hint="eastAsia"/>
      </w:rPr>
    </w:lvl>
  </w:abstractNum>
  <w:abstractNum w:abstractNumId="49">
    <w:nsid w:val="00000040"/>
    <w:multiLevelType w:val="multilevel"/>
    <w:tmpl w:val="00000040"/>
    <w:lvl w:ilvl="0" w:tentative="0">
      <w:start w:val="1"/>
      <w:numFmt w:val="bullet"/>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50">
    <w:nsid w:val="00000041"/>
    <w:multiLevelType w:val="singleLevel"/>
    <w:tmpl w:val="00000041"/>
    <w:lvl w:ilvl="0" w:tentative="0">
      <w:start w:val="1"/>
      <w:numFmt w:val="decimalEnclosedCircleChinese"/>
      <w:suff w:val="nothing"/>
      <w:lvlText w:val="%1　"/>
      <w:lvlJc w:val="left"/>
      <w:pPr>
        <w:ind w:left="0" w:firstLine="400"/>
      </w:pPr>
      <w:rPr>
        <w:rFonts w:hint="eastAsia"/>
      </w:rPr>
    </w:lvl>
  </w:abstractNum>
  <w:abstractNum w:abstractNumId="51">
    <w:nsid w:val="00000042"/>
    <w:multiLevelType w:val="multilevel"/>
    <w:tmpl w:val="00000042"/>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1571"/>
        </w:tabs>
        <w:ind w:left="1418" w:hanging="567"/>
      </w:pPr>
      <w:rPr>
        <w:lang w:val="en-US"/>
      </w:rPr>
    </w:lvl>
    <w:lvl w:ilvl="2" w:tentative="0">
      <w:start w:val="1"/>
      <w:numFmt w:val="decimal"/>
      <w:lvlText w:val="%1.%2.%3"/>
      <w:lvlJc w:val="left"/>
      <w:pPr>
        <w:tabs>
          <w:tab w:val="left" w:pos="1505"/>
        </w:tabs>
        <w:ind w:left="992"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52">
    <w:nsid w:val="00000043"/>
    <w:multiLevelType w:val="singleLevel"/>
    <w:tmpl w:val="00000043"/>
    <w:lvl w:ilvl="0" w:tentative="0">
      <w:start w:val="1"/>
      <w:numFmt w:val="decimal"/>
      <w:suff w:val="nothing"/>
      <w:lvlText w:val="%1）"/>
      <w:lvlJc w:val="left"/>
    </w:lvl>
  </w:abstractNum>
  <w:abstractNum w:abstractNumId="53">
    <w:nsid w:val="00000044"/>
    <w:multiLevelType w:val="singleLevel"/>
    <w:tmpl w:val="00000044"/>
    <w:lvl w:ilvl="0" w:tentative="0">
      <w:start w:val="1"/>
      <w:numFmt w:val="decimal"/>
      <w:lvlText w:val="%1)"/>
      <w:lvlJc w:val="left"/>
      <w:pPr>
        <w:tabs>
          <w:tab w:val="left" w:pos="845"/>
        </w:tabs>
        <w:ind w:left="425" w:hanging="425"/>
      </w:pPr>
      <w:rPr>
        <w:rFonts w:hint="default"/>
      </w:rPr>
    </w:lvl>
  </w:abstractNum>
  <w:abstractNum w:abstractNumId="54">
    <w:nsid w:val="00000045"/>
    <w:multiLevelType w:val="singleLevel"/>
    <w:tmpl w:val="00000045"/>
    <w:lvl w:ilvl="0" w:tentative="0">
      <w:start w:val="1"/>
      <w:numFmt w:val="decimal"/>
      <w:lvlText w:val="%1)"/>
      <w:lvlJc w:val="left"/>
      <w:pPr>
        <w:tabs>
          <w:tab w:val="left" w:pos="845"/>
        </w:tabs>
        <w:ind w:left="425" w:hanging="425"/>
      </w:pPr>
      <w:rPr>
        <w:rFonts w:hint="default"/>
      </w:rPr>
    </w:lvl>
  </w:abstractNum>
  <w:abstractNum w:abstractNumId="55">
    <w:nsid w:val="00000047"/>
    <w:multiLevelType w:val="singleLevel"/>
    <w:tmpl w:val="00000047"/>
    <w:lvl w:ilvl="0" w:tentative="0">
      <w:start w:val="1"/>
      <w:numFmt w:val="decimal"/>
      <w:lvlText w:val="%1)"/>
      <w:lvlJc w:val="left"/>
      <w:pPr>
        <w:tabs>
          <w:tab w:val="left" w:pos="425"/>
        </w:tabs>
        <w:ind w:left="425" w:hanging="425"/>
      </w:pPr>
      <w:rPr>
        <w:rFonts w:hint="default"/>
      </w:rPr>
    </w:lvl>
  </w:abstractNum>
  <w:abstractNum w:abstractNumId="56">
    <w:nsid w:val="00000049"/>
    <w:multiLevelType w:val="multilevel"/>
    <w:tmpl w:val="00000049"/>
    <w:lvl w:ilvl="0" w:tentative="0">
      <w:start w:val="1"/>
      <w:numFmt w:val="decimal"/>
      <w:pStyle w:val="55"/>
      <w:suff w:val="nothing"/>
      <w:lvlText w:val="第%1章 "/>
      <w:lvlJc w:val="left"/>
      <w:pPr>
        <w:ind w:left="0" w:firstLine="0"/>
      </w:pPr>
      <w:rPr>
        <w:rFonts w:hint="default" w:ascii="Arial" w:hAnsi="Arial" w:eastAsia="黑体"/>
        <w:b/>
        <w:i w:val="0"/>
        <w:sz w:val="32"/>
        <w:lang w:val="en-US"/>
      </w:rPr>
    </w:lvl>
    <w:lvl w:ilvl="1" w:tentative="0">
      <w:start w:val="1"/>
      <w:numFmt w:val="decimal"/>
      <w:pStyle w:val="38"/>
      <w:suff w:val="nothing"/>
      <w:lvlText w:val="§%1.%2 "/>
      <w:lvlJc w:val="left"/>
      <w:pPr>
        <w:ind w:left="0" w:firstLine="0"/>
      </w:pPr>
      <w:rPr>
        <w:rFonts w:hint="default" w:ascii="Arial" w:hAnsi="Arial" w:eastAsia="仿宋_GB2312"/>
        <w:b w:val="0"/>
        <w:i w:val="0"/>
        <w:sz w:val="28"/>
      </w:rPr>
    </w:lvl>
    <w:lvl w:ilvl="2" w:tentative="0">
      <w:start w:val="1"/>
      <w:numFmt w:val="decimal"/>
      <w:suff w:val="nothing"/>
      <w:lvlText w:val="§%1.%2.%3 "/>
      <w:lvlJc w:val="left"/>
      <w:pPr>
        <w:ind w:left="900" w:firstLine="0"/>
      </w:pPr>
      <w:rPr>
        <w:rFonts w:hint="default" w:ascii="Arial" w:hAnsi="Arial" w:eastAsia="宋体"/>
        <w:b/>
        <w:i w:val="0"/>
        <w:caps w:val="0"/>
        <w:smallCaps w:val="0"/>
        <w:strike w:val="0"/>
        <w:dstrike w:val="0"/>
        <w:outline w:val="0"/>
        <w:shadow w:val="0"/>
        <w:emboss w:val="0"/>
        <w:imprint w:val="0"/>
        <w:vanish w:val="0"/>
        <w:spacing w:val="0"/>
        <w:position w:val="0"/>
        <w:sz w:val="28"/>
        <w:u w:val="none"/>
        <w:vertAlign w:val="baseline"/>
      </w:rPr>
    </w:lvl>
    <w:lvl w:ilvl="3" w:tentative="0">
      <w:start w:val="1"/>
      <w:numFmt w:val="decimal"/>
      <w:suff w:val="nothing"/>
      <w:lvlText w:val="§%1.%2.%3.%4 "/>
      <w:lvlJc w:val="left"/>
      <w:pPr>
        <w:ind w:left="0" w:firstLine="0"/>
      </w:pPr>
      <w:rPr>
        <w:rFonts w:hint="default" w:ascii="Arial" w:hAnsi="Arial" w:eastAsia="黑体"/>
        <w:b/>
        <w:i w:val="0"/>
        <w:sz w:val="21"/>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57">
    <w:nsid w:val="0000004A"/>
    <w:multiLevelType w:val="singleLevel"/>
    <w:tmpl w:val="0000004A"/>
    <w:lvl w:ilvl="0" w:tentative="0">
      <w:start w:val="1"/>
      <w:numFmt w:val="decimal"/>
      <w:lvlText w:val="%1)"/>
      <w:lvlJc w:val="left"/>
      <w:pPr>
        <w:tabs>
          <w:tab w:val="left" w:pos="845"/>
        </w:tabs>
        <w:ind w:left="425" w:hanging="425"/>
      </w:pPr>
      <w:rPr>
        <w:rFonts w:hint="default"/>
      </w:rPr>
    </w:lvl>
  </w:abstractNum>
  <w:abstractNum w:abstractNumId="58">
    <w:nsid w:val="0000004B"/>
    <w:multiLevelType w:val="singleLevel"/>
    <w:tmpl w:val="0000004B"/>
    <w:lvl w:ilvl="0" w:tentative="0">
      <w:start w:val="1"/>
      <w:numFmt w:val="decimalEnclosedCircleChinese"/>
      <w:suff w:val="nothing"/>
      <w:lvlText w:val="%1　"/>
      <w:lvlJc w:val="left"/>
      <w:pPr>
        <w:ind w:left="0" w:firstLine="400"/>
      </w:pPr>
      <w:rPr>
        <w:rFonts w:hint="eastAsia"/>
      </w:rPr>
    </w:lvl>
  </w:abstractNum>
  <w:abstractNum w:abstractNumId="59">
    <w:nsid w:val="0000004C"/>
    <w:multiLevelType w:val="singleLevel"/>
    <w:tmpl w:val="0000004C"/>
    <w:lvl w:ilvl="0" w:tentative="0">
      <w:start w:val="1"/>
      <w:numFmt w:val="decimal"/>
      <w:lvlText w:val="%1)"/>
      <w:lvlJc w:val="left"/>
      <w:pPr>
        <w:tabs>
          <w:tab w:val="left" w:pos="845"/>
        </w:tabs>
        <w:ind w:left="425" w:hanging="425"/>
      </w:pPr>
      <w:rPr>
        <w:rFonts w:hint="default"/>
      </w:rPr>
    </w:lvl>
  </w:abstractNum>
  <w:abstractNum w:abstractNumId="60">
    <w:nsid w:val="0000004E"/>
    <w:multiLevelType w:val="singleLevel"/>
    <w:tmpl w:val="0000004E"/>
    <w:lvl w:ilvl="0" w:tentative="0">
      <w:start w:val="1"/>
      <w:numFmt w:val="decimal"/>
      <w:lvlText w:val="%1)"/>
      <w:lvlJc w:val="left"/>
      <w:pPr>
        <w:tabs>
          <w:tab w:val="left" w:pos="845"/>
        </w:tabs>
        <w:ind w:left="425" w:hanging="425"/>
      </w:pPr>
      <w:rPr>
        <w:rFonts w:hint="default"/>
      </w:rPr>
    </w:lvl>
  </w:abstractNum>
  <w:abstractNum w:abstractNumId="61">
    <w:nsid w:val="0000004F"/>
    <w:multiLevelType w:val="singleLevel"/>
    <w:tmpl w:val="0000004F"/>
    <w:lvl w:ilvl="0" w:tentative="0">
      <w:start w:val="1"/>
      <w:numFmt w:val="decimal"/>
      <w:suff w:val="nothing"/>
      <w:lvlText w:val="%1）"/>
      <w:lvlJc w:val="left"/>
    </w:lvl>
  </w:abstractNum>
  <w:abstractNum w:abstractNumId="62">
    <w:nsid w:val="00000051"/>
    <w:multiLevelType w:val="singleLevel"/>
    <w:tmpl w:val="00000051"/>
    <w:lvl w:ilvl="0" w:tentative="0">
      <w:start w:val="1"/>
      <w:numFmt w:val="decimal"/>
      <w:suff w:val="nothing"/>
      <w:lvlText w:val="%1）"/>
      <w:lvlJc w:val="left"/>
    </w:lvl>
  </w:abstractNum>
  <w:abstractNum w:abstractNumId="63">
    <w:nsid w:val="00000052"/>
    <w:multiLevelType w:val="singleLevel"/>
    <w:tmpl w:val="00000052"/>
    <w:lvl w:ilvl="0" w:tentative="0">
      <w:start w:val="1"/>
      <w:numFmt w:val="decimalEnclosedCircleChinese"/>
      <w:suff w:val="nothing"/>
      <w:lvlText w:val="%1　"/>
      <w:lvlJc w:val="left"/>
      <w:pPr>
        <w:ind w:left="0" w:firstLine="400"/>
      </w:pPr>
      <w:rPr>
        <w:rFonts w:hint="eastAsia"/>
      </w:rPr>
    </w:lvl>
  </w:abstractNum>
  <w:abstractNum w:abstractNumId="64">
    <w:nsid w:val="00000053"/>
    <w:multiLevelType w:val="singleLevel"/>
    <w:tmpl w:val="00000053"/>
    <w:lvl w:ilvl="0" w:tentative="0">
      <w:start w:val="1"/>
      <w:numFmt w:val="decimalEnclosedCircleChinese"/>
      <w:suff w:val="nothing"/>
      <w:lvlText w:val="%1　"/>
      <w:lvlJc w:val="left"/>
      <w:pPr>
        <w:ind w:left="0" w:firstLine="400"/>
      </w:pPr>
      <w:rPr>
        <w:rFonts w:hint="eastAsia"/>
      </w:rPr>
    </w:lvl>
  </w:abstractNum>
  <w:abstractNum w:abstractNumId="65">
    <w:nsid w:val="00000054"/>
    <w:multiLevelType w:val="singleLevel"/>
    <w:tmpl w:val="00000054"/>
    <w:lvl w:ilvl="0" w:tentative="0">
      <w:start w:val="1"/>
      <w:numFmt w:val="decimal"/>
      <w:suff w:val="nothing"/>
      <w:lvlText w:val="%1）"/>
      <w:lvlJc w:val="left"/>
    </w:lvl>
  </w:abstractNum>
  <w:abstractNum w:abstractNumId="66">
    <w:nsid w:val="00000056"/>
    <w:multiLevelType w:val="singleLevel"/>
    <w:tmpl w:val="00000056"/>
    <w:lvl w:ilvl="0" w:tentative="0">
      <w:start w:val="1"/>
      <w:numFmt w:val="decimalEnclosedCircleChinese"/>
      <w:suff w:val="nothing"/>
      <w:lvlText w:val="%1　"/>
      <w:lvlJc w:val="left"/>
      <w:pPr>
        <w:ind w:left="0" w:firstLine="400"/>
      </w:pPr>
      <w:rPr>
        <w:rFonts w:hint="eastAsia"/>
      </w:rPr>
    </w:lvl>
  </w:abstractNum>
  <w:abstractNum w:abstractNumId="67">
    <w:nsid w:val="00000057"/>
    <w:multiLevelType w:val="multilevel"/>
    <w:tmpl w:val="00000057"/>
    <w:lvl w:ilvl="0" w:tentative="0">
      <w:start w:val="1"/>
      <w:numFmt w:val="decimal"/>
      <w:lvlText w:val="%1)"/>
      <w:lvlJc w:val="left"/>
      <w:pPr>
        <w:tabs>
          <w:tab w:val="left" w:pos="840"/>
        </w:tabs>
        <w:ind w:left="420" w:hanging="420"/>
      </w:pPr>
      <w:rPr>
        <w:rFonts w:hint="default"/>
      </w:rPr>
    </w:lvl>
    <w:lvl w:ilvl="1" w:tentative="0">
      <w:start w:val="1"/>
      <w:numFmt w:val="bullet"/>
      <w:lvlText w:val=""/>
      <w:lvlJc w:val="left"/>
      <w:pPr>
        <w:tabs>
          <w:tab w:val="left" w:pos="1260"/>
        </w:tabs>
        <w:ind w:left="840" w:hanging="420"/>
      </w:pPr>
      <w:rPr>
        <w:rFonts w:hint="default" w:ascii="Wingdings" w:hAnsi="Wingdings"/>
      </w:rPr>
    </w:lvl>
    <w:lvl w:ilvl="2" w:tentative="0">
      <w:start w:val="1"/>
      <w:numFmt w:val="bullet"/>
      <w:lvlText w:val=""/>
      <w:lvlJc w:val="left"/>
      <w:pPr>
        <w:tabs>
          <w:tab w:val="left" w:pos="1680"/>
        </w:tabs>
        <w:ind w:left="1260" w:hanging="420"/>
      </w:pPr>
      <w:rPr>
        <w:rFonts w:hint="default" w:ascii="Wingdings" w:hAnsi="Wingdings"/>
      </w:rPr>
    </w:lvl>
    <w:lvl w:ilvl="3" w:tentative="0">
      <w:start w:val="1"/>
      <w:numFmt w:val="bullet"/>
      <w:lvlText w:val=""/>
      <w:lvlJc w:val="left"/>
      <w:pPr>
        <w:tabs>
          <w:tab w:val="left" w:pos="2100"/>
        </w:tabs>
        <w:ind w:left="1680" w:hanging="420"/>
      </w:pPr>
      <w:rPr>
        <w:rFonts w:hint="default" w:ascii="Wingdings" w:hAnsi="Wingdings"/>
      </w:rPr>
    </w:lvl>
    <w:lvl w:ilvl="4" w:tentative="0">
      <w:start w:val="1"/>
      <w:numFmt w:val="bullet"/>
      <w:lvlText w:val=""/>
      <w:lvlJc w:val="left"/>
      <w:pPr>
        <w:tabs>
          <w:tab w:val="left" w:pos="2520"/>
        </w:tabs>
        <w:ind w:left="2100" w:hanging="420"/>
      </w:pPr>
      <w:rPr>
        <w:rFonts w:hint="default" w:ascii="Wingdings" w:hAnsi="Wingdings"/>
      </w:rPr>
    </w:lvl>
    <w:lvl w:ilvl="5" w:tentative="0">
      <w:start w:val="1"/>
      <w:numFmt w:val="bullet"/>
      <w:lvlText w:val=""/>
      <w:lvlJc w:val="left"/>
      <w:pPr>
        <w:tabs>
          <w:tab w:val="left" w:pos="2940"/>
        </w:tabs>
        <w:ind w:left="2520" w:hanging="420"/>
      </w:pPr>
      <w:rPr>
        <w:rFonts w:hint="default" w:ascii="Wingdings" w:hAnsi="Wingdings"/>
      </w:rPr>
    </w:lvl>
    <w:lvl w:ilvl="6" w:tentative="0">
      <w:start w:val="1"/>
      <w:numFmt w:val="bullet"/>
      <w:lvlText w:val=""/>
      <w:lvlJc w:val="left"/>
      <w:pPr>
        <w:tabs>
          <w:tab w:val="left" w:pos="3360"/>
        </w:tabs>
        <w:ind w:left="2940" w:hanging="420"/>
      </w:pPr>
      <w:rPr>
        <w:rFonts w:hint="default" w:ascii="Wingdings" w:hAnsi="Wingdings"/>
      </w:rPr>
    </w:lvl>
    <w:lvl w:ilvl="7" w:tentative="0">
      <w:start w:val="1"/>
      <w:numFmt w:val="bullet"/>
      <w:lvlText w:val=""/>
      <w:lvlJc w:val="left"/>
      <w:pPr>
        <w:tabs>
          <w:tab w:val="left" w:pos="3780"/>
        </w:tabs>
        <w:ind w:left="3360" w:hanging="420"/>
      </w:pPr>
      <w:rPr>
        <w:rFonts w:hint="default" w:ascii="Wingdings" w:hAnsi="Wingdings"/>
      </w:rPr>
    </w:lvl>
    <w:lvl w:ilvl="8" w:tentative="0">
      <w:start w:val="1"/>
      <w:numFmt w:val="bullet"/>
      <w:lvlText w:val=""/>
      <w:lvlJc w:val="left"/>
      <w:pPr>
        <w:tabs>
          <w:tab w:val="left" w:pos="4200"/>
        </w:tabs>
        <w:ind w:left="3780" w:hanging="420"/>
      </w:pPr>
      <w:rPr>
        <w:rFonts w:hint="default" w:ascii="Wingdings" w:hAnsi="Wingdings"/>
      </w:rPr>
    </w:lvl>
  </w:abstractNum>
  <w:abstractNum w:abstractNumId="68">
    <w:nsid w:val="00000058"/>
    <w:multiLevelType w:val="singleLevel"/>
    <w:tmpl w:val="00000058"/>
    <w:lvl w:ilvl="0" w:tentative="0">
      <w:start w:val="1"/>
      <w:numFmt w:val="decimal"/>
      <w:lvlText w:val="%1)"/>
      <w:lvlJc w:val="left"/>
      <w:pPr>
        <w:tabs>
          <w:tab w:val="left" w:pos="845"/>
        </w:tabs>
        <w:ind w:left="425" w:hanging="425"/>
      </w:pPr>
      <w:rPr>
        <w:rFonts w:hint="default"/>
      </w:rPr>
    </w:lvl>
  </w:abstractNum>
  <w:abstractNum w:abstractNumId="69">
    <w:nsid w:val="00000059"/>
    <w:multiLevelType w:val="singleLevel"/>
    <w:tmpl w:val="00000059"/>
    <w:lvl w:ilvl="0" w:tentative="0">
      <w:start w:val="1"/>
      <w:numFmt w:val="decimal"/>
      <w:lvlText w:val="%1)"/>
      <w:lvlJc w:val="left"/>
      <w:pPr>
        <w:tabs>
          <w:tab w:val="left" w:pos="845"/>
        </w:tabs>
        <w:ind w:left="425" w:hanging="425"/>
      </w:pPr>
      <w:rPr>
        <w:rFonts w:hint="default"/>
      </w:rPr>
    </w:lvl>
  </w:abstractNum>
  <w:abstractNum w:abstractNumId="70">
    <w:nsid w:val="0000005A"/>
    <w:multiLevelType w:val="singleLevel"/>
    <w:tmpl w:val="0000005A"/>
    <w:lvl w:ilvl="0" w:tentative="0">
      <w:start w:val="1"/>
      <w:numFmt w:val="decimal"/>
      <w:lvlText w:val="%1)"/>
      <w:lvlJc w:val="left"/>
      <w:pPr>
        <w:tabs>
          <w:tab w:val="left" w:pos="845"/>
        </w:tabs>
        <w:ind w:left="425" w:hanging="425"/>
      </w:pPr>
      <w:rPr>
        <w:rFonts w:hint="default"/>
      </w:rPr>
    </w:lvl>
  </w:abstractNum>
  <w:abstractNum w:abstractNumId="71">
    <w:nsid w:val="0000005C"/>
    <w:multiLevelType w:val="singleLevel"/>
    <w:tmpl w:val="0000005C"/>
    <w:lvl w:ilvl="0" w:tentative="0">
      <w:start w:val="1"/>
      <w:numFmt w:val="decimal"/>
      <w:lvlText w:val="%1)"/>
      <w:lvlJc w:val="left"/>
      <w:pPr>
        <w:tabs>
          <w:tab w:val="left" w:pos="845"/>
        </w:tabs>
        <w:ind w:left="425" w:hanging="425"/>
      </w:pPr>
      <w:rPr>
        <w:rFonts w:hint="default"/>
      </w:rPr>
    </w:lvl>
  </w:abstractNum>
  <w:abstractNum w:abstractNumId="72">
    <w:nsid w:val="0000005D"/>
    <w:multiLevelType w:val="multilevel"/>
    <w:tmpl w:val="0000005D"/>
    <w:lvl w:ilvl="0" w:tentative="0">
      <w:start w:val="1"/>
      <w:numFmt w:val="decimal"/>
      <w:lvlText w:val="%1)"/>
      <w:lvlJc w:val="left"/>
      <w:pPr>
        <w:tabs>
          <w:tab w:val="left" w:pos="620"/>
        </w:tabs>
        <w:ind w:left="620" w:hanging="420"/>
      </w:pPr>
      <w:rPr>
        <w:rFonts w:hint="eastAsia"/>
      </w:rPr>
    </w:lvl>
    <w:lvl w:ilvl="1" w:tentative="0">
      <w:start w:val="1"/>
      <w:numFmt w:val="decimal"/>
      <w:lvlText w:val="%1.%2"/>
      <w:lvlJc w:val="left"/>
      <w:pPr>
        <w:tabs>
          <w:tab w:val="left" w:pos="1107"/>
        </w:tabs>
        <w:ind w:left="1107" w:hanging="567"/>
      </w:pPr>
      <w:rPr>
        <w:rFonts w:hint="eastAsia"/>
      </w:rPr>
    </w:lvl>
    <w:lvl w:ilvl="2" w:tentative="0">
      <w:start w:val="1"/>
      <w:numFmt w:val="decimal"/>
      <w:lvlText w:val="%1.%2.%3"/>
      <w:lvlJc w:val="left"/>
      <w:pPr>
        <w:tabs>
          <w:tab w:val="left" w:pos="909"/>
        </w:tabs>
        <w:ind w:left="909" w:hanging="709"/>
      </w:pPr>
      <w:rPr>
        <w:rFonts w:hint="eastAsia"/>
      </w:rPr>
    </w:lvl>
    <w:lvl w:ilvl="3" w:tentative="0">
      <w:start w:val="1"/>
      <w:numFmt w:val="decimal"/>
      <w:lvlText w:val="%1.%2.%3.%4"/>
      <w:lvlJc w:val="left"/>
      <w:pPr>
        <w:tabs>
          <w:tab w:val="left" w:pos="1051"/>
        </w:tabs>
        <w:ind w:left="1051" w:hanging="851"/>
      </w:pPr>
      <w:rPr>
        <w:rFonts w:hint="eastAsia"/>
      </w:rPr>
    </w:lvl>
    <w:lvl w:ilvl="4" w:tentative="0">
      <w:start w:val="1"/>
      <w:numFmt w:val="decimal"/>
      <w:lvlText w:val="%1.%2.%3.%4.%5"/>
      <w:lvlJc w:val="left"/>
      <w:pPr>
        <w:tabs>
          <w:tab w:val="left" w:pos="1192"/>
        </w:tabs>
        <w:ind w:left="1192" w:hanging="992"/>
      </w:pPr>
      <w:rPr>
        <w:rFonts w:hint="eastAsia"/>
      </w:rPr>
    </w:lvl>
    <w:lvl w:ilvl="5" w:tentative="0">
      <w:start w:val="1"/>
      <w:numFmt w:val="decimal"/>
      <w:lvlText w:val="%1.%2.%3.%4.%5.%6."/>
      <w:lvlJc w:val="left"/>
      <w:pPr>
        <w:tabs>
          <w:tab w:val="left" w:pos="1334"/>
        </w:tabs>
        <w:ind w:left="1334" w:hanging="1134"/>
      </w:pPr>
      <w:rPr>
        <w:rFonts w:hint="eastAsia"/>
      </w:rPr>
    </w:lvl>
    <w:lvl w:ilvl="6" w:tentative="0">
      <w:start w:val="1"/>
      <w:numFmt w:val="decimal"/>
      <w:lvlText w:val="%1.%2.%3.%4.%5.%6.%7."/>
      <w:lvlJc w:val="left"/>
      <w:pPr>
        <w:tabs>
          <w:tab w:val="left" w:pos="1476"/>
        </w:tabs>
        <w:ind w:left="1476" w:hanging="1276"/>
      </w:pPr>
      <w:rPr>
        <w:rFonts w:hint="eastAsia"/>
      </w:rPr>
    </w:lvl>
    <w:lvl w:ilvl="7" w:tentative="0">
      <w:start w:val="1"/>
      <w:numFmt w:val="decimal"/>
      <w:lvlText w:val="%1.%2.%3.%4.%5.%6.%7.%8."/>
      <w:lvlJc w:val="left"/>
      <w:pPr>
        <w:tabs>
          <w:tab w:val="left" w:pos="1618"/>
        </w:tabs>
        <w:ind w:left="1618" w:hanging="1418"/>
      </w:pPr>
      <w:rPr>
        <w:rFonts w:hint="eastAsia"/>
      </w:rPr>
    </w:lvl>
    <w:lvl w:ilvl="8" w:tentative="0">
      <w:start w:val="1"/>
      <w:numFmt w:val="decimal"/>
      <w:lvlText w:val="%1.%2.%3.%4.%5.%6.%7.%8.%9."/>
      <w:lvlJc w:val="left"/>
      <w:pPr>
        <w:tabs>
          <w:tab w:val="left" w:pos="1759"/>
        </w:tabs>
        <w:ind w:left="1759" w:hanging="1559"/>
      </w:pPr>
      <w:rPr>
        <w:rFonts w:hint="eastAsia"/>
      </w:rPr>
    </w:lvl>
  </w:abstractNum>
  <w:abstractNum w:abstractNumId="73">
    <w:nsid w:val="0000005E"/>
    <w:multiLevelType w:val="multilevel"/>
    <w:tmpl w:val="0000005E"/>
    <w:lvl w:ilvl="0" w:tentative="0">
      <w:start w:val="1"/>
      <w:numFmt w:val="bullet"/>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74">
    <w:nsid w:val="0000005F"/>
    <w:multiLevelType w:val="singleLevel"/>
    <w:tmpl w:val="0000005F"/>
    <w:lvl w:ilvl="0" w:tentative="0">
      <w:start w:val="1"/>
      <w:numFmt w:val="bullet"/>
      <w:lvlText w:val=""/>
      <w:lvlJc w:val="left"/>
      <w:pPr>
        <w:tabs>
          <w:tab w:val="left" w:pos="1260"/>
        </w:tabs>
        <w:ind w:left="420" w:hanging="420"/>
      </w:pPr>
      <w:rPr>
        <w:rFonts w:hint="default" w:ascii="Wingdings" w:hAnsi="Wingdings"/>
      </w:rPr>
    </w:lvl>
  </w:abstractNum>
  <w:abstractNum w:abstractNumId="75">
    <w:nsid w:val="00000060"/>
    <w:multiLevelType w:val="singleLevel"/>
    <w:tmpl w:val="00000060"/>
    <w:lvl w:ilvl="0" w:tentative="0">
      <w:start w:val="1"/>
      <w:numFmt w:val="decimalEnclosedCircleChinese"/>
      <w:suff w:val="nothing"/>
      <w:lvlText w:val="%1　"/>
      <w:lvlJc w:val="left"/>
      <w:pPr>
        <w:ind w:left="0" w:firstLine="400"/>
      </w:pPr>
      <w:rPr>
        <w:rFonts w:hint="eastAsia"/>
      </w:rPr>
    </w:lvl>
  </w:abstractNum>
  <w:abstractNum w:abstractNumId="76">
    <w:nsid w:val="00000061"/>
    <w:multiLevelType w:val="singleLevel"/>
    <w:tmpl w:val="00000061"/>
    <w:lvl w:ilvl="0" w:tentative="0">
      <w:start w:val="1"/>
      <w:numFmt w:val="bullet"/>
      <w:lvlText w:val=""/>
      <w:lvlJc w:val="left"/>
      <w:pPr>
        <w:tabs>
          <w:tab w:val="left" w:pos="420"/>
        </w:tabs>
        <w:ind w:left="420" w:hanging="420"/>
      </w:pPr>
      <w:rPr>
        <w:rFonts w:hint="default" w:ascii="Wingdings" w:hAnsi="Wingdings"/>
      </w:rPr>
    </w:lvl>
  </w:abstractNum>
  <w:num w:numId="1">
    <w:abstractNumId w:val="0"/>
  </w:num>
  <w:num w:numId="2">
    <w:abstractNumId w:val="56"/>
  </w:num>
  <w:num w:numId="3">
    <w:abstractNumId w:val="1"/>
  </w:num>
  <w:num w:numId="4">
    <w:abstractNumId w:val="31"/>
  </w:num>
  <w:num w:numId="5">
    <w:abstractNumId w:val="7"/>
  </w:num>
  <w:num w:numId="6">
    <w:abstractNumId w:val="52"/>
  </w:num>
  <w:num w:numId="7">
    <w:abstractNumId w:val="62"/>
  </w:num>
  <w:num w:numId="8">
    <w:abstractNumId w:val="61"/>
  </w:num>
  <w:num w:numId="9">
    <w:abstractNumId w:val="34"/>
  </w:num>
  <w:num w:numId="10">
    <w:abstractNumId w:val="68"/>
  </w:num>
  <w:num w:numId="11">
    <w:abstractNumId w:val="48"/>
  </w:num>
  <w:num w:numId="12">
    <w:abstractNumId w:val="28"/>
  </w:num>
  <w:num w:numId="13">
    <w:abstractNumId w:val="64"/>
  </w:num>
  <w:num w:numId="14">
    <w:abstractNumId w:val="23"/>
  </w:num>
  <w:num w:numId="15">
    <w:abstractNumId w:val="12"/>
  </w:num>
  <w:num w:numId="16">
    <w:abstractNumId w:val="71"/>
  </w:num>
  <w:num w:numId="17">
    <w:abstractNumId w:val="29"/>
  </w:num>
  <w:num w:numId="18">
    <w:abstractNumId w:val="8"/>
  </w:num>
  <w:num w:numId="19">
    <w:abstractNumId w:val="24"/>
  </w:num>
  <w:num w:numId="20">
    <w:abstractNumId w:val="21"/>
  </w:num>
  <w:num w:numId="21">
    <w:abstractNumId w:val="57"/>
  </w:num>
  <w:num w:numId="22">
    <w:abstractNumId w:val="4"/>
  </w:num>
  <w:num w:numId="23">
    <w:abstractNumId w:val="55"/>
  </w:num>
  <w:num w:numId="24">
    <w:abstractNumId w:val="16"/>
  </w:num>
  <w:num w:numId="25">
    <w:abstractNumId w:val="41"/>
  </w:num>
  <w:num w:numId="26">
    <w:abstractNumId w:val="45"/>
  </w:num>
  <w:num w:numId="27">
    <w:abstractNumId w:val="30"/>
  </w:num>
  <w:num w:numId="28">
    <w:abstractNumId w:val="22"/>
  </w:num>
  <w:num w:numId="29">
    <w:abstractNumId w:val="67"/>
  </w:num>
  <w:num w:numId="30">
    <w:abstractNumId w:val="58"/>
  </w:num>
  <w:num w:numId="31">
    <w:abstractNumId w:val="75"/>
  </w:num>
  <w:num w:numId="32">
    <w:abstractNumId w:val="10"/>
  </w:num>
  <w:num w:numId="33">
    <w:abstractNumId w:val="72"/>
  </w:num>
  <w:num w:numId="34">
    <w:abstractNumId w:val="25"/>
  </w:num>
  <w:num w:numId="35">
    <w:abstractNumId w:val="53"/>
  </w:num>
  <w:num w:numId="36">
    <w:abstractNumId w:val="63"/>
  </w:num>
  <w:num w:numId="37">
    <w:abstractNumId w:val="50"/>
  </w:num>
  <w:num w:numId="38">
    <w:abstractNumId w:val="66"/>
  </w:num>
  <w:num w:numId="39">
    <w:abstractNumId w:val="14"/>
  </w:num>
  <w:num w:numId="40">
    <w:abstractNumId w:val="74"/>
  </w:num>
  <w:num w:numId="41">
    <w:abstractNumId w:val="44"/>
  </w:num>
  <w:num w:numId="42">
    <w:abstractNumId w:val="47"/>
  </w:num>
  <w:num w:numId="43">
    <w:abstractNumId w:val="11"/>
  </w:num>
  <w:num w:numId="44">
    <w:abstractNumId w:val="9"/>
  </w:num>
  <w:num w:numId="45">
    <w:abstractNumId w:val="38"/>
  </w:num>
  <w:num w:numId="46">
    <w:abstractNumId w:val="76"/>
  </w:num>
  <w:num w:numId="47">
    <w:abstractNumId w:val="20"/>
  </w:num>
  <w:num w:numId="48">
    <w:abstractNumId w:val="42"/>
  </w:num>
  <w:num w:numId="4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6"/>
  </w:num>
  <w:num w:numId="51">
    <w:abstractNumId w:val="54"/>
  </w:num>
  <w:num w:numId="52">
    <w:abstractNumId w:val="59"/>
  </w:num>
  <w:num w:numId="53">
    <w:abstractNumId w:val="37"/>
  </w:num>
  <w:num w:numId="54">
    <w:abstractNumId w:val="3"/>
  </w:num>
  <w:num w:numId="55">
    <w:abstractNumId w:val="33"/>
  </w:num>
  <w:num w:numId="56">
    <w:abstractNumId w:val="19"/>
  </w:num>
  <w:num w:numId="57">
    <w:abstractNumId w:val="15"/>
  </w:num>
  <w:num w:numId="58">
    <w:abstractNumId w:val="65"/>
  </w:num>
  <w:num w:numId="59">
    <w:abstractNumId w:val="35"/>
  </w:num>
  <w:num w:numId="60">
    <w:abstractNumId w:val="26"/>
  </w:num>
  <w:num w:numId="61">
    <w:abstractNumId w:val="39"/>
  </w:num>
  <w:num w:numId="62">
    <w:abstractNumId w:val="27"/>
  </w:num>
  <w:num w:numId="63">
    <w:abstractNumId w:val="6"/>
  </w:num>
  <w:num w:numId="64">
    <w:abstractNumId w:val="5"/>
  </w:num>
  <w:num w:numId="65">
    <w:abstractNumId w:val="32"/>
  </w:num>
  <w:num w:numId="66">
    <w:abstractNumId w:val="70"/>
  </w:num>
  <w:num w:numId="67">
    <w:abstractNumId w:val="69"/>
  </w:num>
  <w:num w:numId="68">
    <w:abstractNumId w:val="46"/>
  </w:num>
  <w:num w:numId="69">
    <w:abstractNumId w:val="43"/>
  </w:num>
  <w:num w:numId="70">
    <w:abstractNumId w:val="2"/>
  </w:num>
  <w:num w:numId="71">
    <w:abstractNumId w:val="60"/>
  </w:num>
  <w:num w:numId="72">
    <w:abstractNumId w:val="49"/>
  </w:num>
  <w:num w:numId="73">
    <w:abstractNumId w:val="17"/>
  </w:num>
  <w:num w:numId="74">
    <w:abstractNumId w:val="13"/>
  </w:num>
  <w:num w:numId="75">
    <w:abstractNumId w:val="40"/>
  </w:num>
  <w:num w:numId="76">
    <w:abstractNumId w:val="18"/>
  </w:num>
  <w:num w:numId="77">
    <w:abstractNumId w:val="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10"/>
  <w:drawingGridVerticalSpacing w:val="143"/>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5EEE"/>
    <w:rsid w:val="000F18B1"/>
    <w:rsid w:val="000F72E1"/>
    <w:rsid w:val="001225EB"/>
    <w:rsid w:val="00323761"/>
    <w:rsid w:val="00472F38"/>
    <w:rsid w:val="00494259"/>
    <w:rsid w:val="005076F0"/>
    <w:rsid w:val="005752CF"/>
    <w:rsid w:val="006227ED"/>
    <w:rsid w:val="00640524"/>
    <w:rsid w:val="00690A6C"/>
    <w:rsid w:val="007B1743"/>
    <w:rsid w:val="008227DD"/>
    <w:rsid w:val="008B055D"/>
    <w:rsid w:val="009864F8"/>
    <w:rsid w:val="009D1FED"/>
    <w:rsid w:val="00AF4FAF"/>
    <w:rsid w:val="00B7082D"/>
    <w:rsid w:val="00BF520D"/>
    <w:rsid w:val="00C71F27"/>
    <w:rsid w:val="00D34A8F"/>
    <w:rsid w:val="00F111BC"/>
    <w:rsid w:val="059C3D33"/>
    <w:rsid w:val="05C3315A"/>
    <w:rsid w:val="0A7510BA"/>
    <w:rsid w:val="0C943540"/>
    <w:rsid w:val="14522278"/>
    <w:rsid w:val="1DCF149C"/>
    <w:rsid w:val="1EFF4DAB"/>
    <w:rsid w:val="1F422EEA"/>
    <w:rsid w:val="21A659B2"/>
    <w:rsid w:val="29D435F8"/>
    <w:rsid w:val="2CBA26F7"/>
    <w:rsid w:val="3ABA3D4F"/>
    <w:rsid w:val="3F6678FE"/>
    <w:rsid w:val="40FB5C66"/>
    <w:rsid w:val="417D62D7"/>
    <w:rsid w:val="4EA549B4"/>
    <w:rsid w:val="547E4C55"/>
    <w:rsid w:val="571F7091"/>
    <w:rsid w:val="57531AE5"/>
    <w:rsid w:val="5E3721D5"/>
    <w:rsid w:val="5E851C93"/>
    <w:rsid w:val="6CA633AD"/>
    <w:rsid w:val="707324D0"/>
    <w:rsid w:val="792B0BF9"/>
    <w:rsid w:val="7A777060"/>
    <w:rsid w:val="7BDD1C5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微软雅黑 Light" w:cs="Times New Roman"/>
      <w:kern w:val="2"/>
      <w:sz w:val="21"/>
      <w:lang w:val="en-US" w:eastAsia="zh-CN" w:bidi="ar-SA"/>
    </w:rPr>
  </w:style>
  <w:style w:type="paragraph" w:styleId="2">
    <w:name w:val="heading 1"/>
    <w:basedOn w:val="1"/>
    <w:next w:val="1"/>
    <w:qFormat/>
    <w:uiPriority w:val="0"/>
    <w:pPr>
      <w:keepNext/>
      <w:keepLines/>
      <w:numPr>
        <w:ilvl w:val="0"/>
        <w:numId w:val="1"/>
      </w:numPr>
      <w:tabs>
        <w:tab w:val="left" w:pos="425"/>
      </w:tabs>
      <w:spacing w:before="50" w:beforeLines="50" w:line="480" w:lineRule="auto"/>
      <w:outlineLvl w:val="0"/>
    </w:pPr>
    <w:rPr>
      <w:rFonts w:ascii="Arial" w:hAnsi="Arial" w:eastAsia="黑体"/>
      <w:kern w:val="44"/>
      <w:sz w:val="32"/>
    </w:rPr>
  </w:style>
  <w:style w:type="paragraph" w:styleId="3">
    <w:name w:val="heading 2"/>
    <w:basedOn w:val="1"/>
    <w:next w:val="1"/>
    <w:link w:val="29"/>
    <w:qFormat/>
    <w:uiPriority w:val="0"/>
    <w:pPr>
      <w:keepNext/>
      <w:keepLines/>
      <w:numPr>
        <w:ilvl w:val="1"/>
        <w:numId w:val="0"/>
      </w:numPr>
      <w:tabs>
        <w:tab w:val="left" w:pos="630"/>
      </w:tabs>
      <w:spacing w:before="200" w:beforeLines="0" w:line="360" w:lineRule="auto"/>
      <w:ind w:left="0" w:leftChars="0" w:firstLine="0"/>
      <w:jc w:val="left"/>
      <w:outlineLvl w:val="1"/>
    </w:pPr>
    <w:rPr>
      <w:rFonts w:ascii="Arial" w:hAnsi="Arial" w:eastAsia="黑体"/>
      <w:kern w:val="0"/>
      <w:sz w:val="28"/>
    </w:rPr>
  </w:style>
  <w:style w:type="paragraph" w:styleId="4">
    <w:name w:val="heading 3"/>
    <w:basedOn w:val="1"/>
    <w:next w:val="1"/>
    <w:link w:val="30"/>
    <w:qFormat/>
    <w:uiPriority w:val="0"/>
    <w:pPr>
      <w:keepNext/>
      <w:keepLines/>
      <w:spacing w:before="200" w:beforeLines="0" w:beforeAutospacing="0" w:line="360" w:lineRule="auto"/>
      <w:outlineLvl w:val="2"/>
    </w:pPr>
    <w:rPr>
      <w:rFonts w:ascii="Arial" w:hAnsi="Arial" w:eastAsia="黑体"/>
      <w:sz w:val="24"/>
    </w:rPr>
  </w:style>
  <w:style w:type="paragraph" w:styleId="5">
    <w:name w:val="heading 4"/>
    <w:basedOn w:val="1"/>
    <w:next w:val="1"/>
    <w:link w:val="31"/>
    <w:qFormat/>
    <w:uiPriority w:val="0"/>
    <w:pPr>
      <w:keepNext/>
      <w:keepLines/>
      <w:spacing w:before="280" w:beforeLines="0" w:beforeAutospacing="0" w:after="290" w:afterLines="0" w:afterAutospacing="0" w:line="372" w:lineRule="auto"/>
      <w:ind w:left="864" w:hanging="864"/>
      <w:outlineLvl w:val="3"/>
    </w:pPr>
    <w:rPr>
      <w:rFonts w:ascii="Calibri" w:hAnsi="Calibri"/>
      <w:b/>
      <w:kern w:val="0"/>
      <w:sz w:val="28"/>
    </w:rPr>
  </w:style>
  <w:style w:type="paragraph" w:styleId="6">
    <w:name w:val="heading 5"/>
    <w:basedOn w:val="1"/>
    <w:next w:val="1"/>
    <w:qFormat/>
    <w:uiPriority w:val="0"/>
    <w:pPr>
      <w:keepNext/>
      <w:keepLines/>
      <w:spacing w:before="280" w:beforeLines="0" w:beforeAutospacing="0" w:after="290" w:afterLines="0" w:afterAutospacing="0" w:line="372" w:lineRule="auto"/>
      <w:ind w:left="1008" w:hanging="1008"/>
      <w:outlineLvl w:val="4"/>
    </w:pPr>
    <w:rPr>
      <w:rFonts w:ascii="Cambria" w:hAnsi="Cambria" w:eastAsia="黑体"/>
      <w:b/>
      <w:sz w:val="28"/>
    </w:rPr>
  </w:style>
  <w:style w:type="paragraph" w:styleId="7">
    <w:name w:val="heading 6"/>
    <w:basedOn w:val="1"/>
    <w:next w:val="1"/>
    <w:qFormat/>
    <w:uiPriority w:val="0"/>
    <w:pPr>
      <w:keepNext/>
      <w:keepLines/>
      <w:spacing w:before="240" w:beforeLines="0" w:beforeAutospacing="0" w:after="64" w:afterLines="0" w:afterAutospacing="0" w:line="317" w:lineRule="auto"/>
      <w:ind w:left="1152" w:hanging="1152"/>
      <w:outlineLvl w:val="5"/>
    </w:pPr>
    <w:rPr>
      <w:rFonts w:ascii="Calibri" w:hAnsi="Calibri"/>
      <w:b/>
      <w:sz w:val="24"/>
    </w:rPr>
  </w:style>
  <w:style w:type="paragraph" w:styleId="8">
    <w:name w:val="heading 7"/>
    <w:basedOn w:val="1"/>
    <w:next w:val="1"/>
    <w:qFormat/>
    <w:uiPriority w:val="0"/>
    <w:pPr>
      <w:keepNext/>
      <w:keepLines/>
      <w:spacing w:before="240" w:beforeLines="0" w:beforeAutospacing="0" w:after="64" w:afterLines="0" w:afterAutospacing="0" w:line="317" w:lineRule="auto"/>
      <w:ind w:left="1296" w:hanging="1296"/>
      <w:outlineLvl w:val="6"/>
    </w:pPr>
    <w:rPr>
      <w:rFonts w:ascii="Cambria" w:hAnsi="Cambria" w:eastAsia="黑体"/>
      <w:b/>
      <w:sz w:val="24"/>
    </w:rPr>
  </w:style>
  <w:style w:type="paragraph" w:styleId="9">
    <w:name w:val="heading 8"/>
    <w:basedOn w:val="1"/>
    <w:next w:val="1"/>
    <w:qFormat/>
    <w:uiPriority w:val="0"/>
    <w:pPr>
      <w:keepNext/>
      <w:keepLines/>
      <w:spacing w:before="240" w:beforeLines="0" w:beforeAutospacing="0" w:after="64" w:afterLines="0" w:afterAutospacing="0" w:line="317" w:lineRule="auto"/>
      <w:ind w:left="1440" w:hanging="1440"/>
      <w:outlineLvl w:val="7"/>
    </w:pPr>
    <w:rPr>
      <w:rFonts w:ascii="Calibri" w:hAnsi="Calibri"/>
      <w:sz w:val="24"/>
    </w:rPr>
  </w:style>
  <w:style w:type="paragraph" w:styleId="10">
    <w:name w:val="heading 9"/>
    <w:basedOn w:val="1"/>
    <w:next w:val="1"/>
    <w:qFormat/>
    <w:uiPriority w:val="0"/>
    <w:pPr>
      <w:keepNext/>
      <w:keepLines/>
      <w:spacing w:before="240" w:beforeLines="0" w:beforeAutospacing="0" w:after="64" w:afterLines="0" w:afterAutospacing="0" w:line="317" w:lineRule="auto"/>
      <w:ind w:left="1584" w:hanging="1584"/>
      <w:outlineLvl w:val="8"/>
    </w:pPr>
    <w:rPr>
      <w:rFonts w:ascii="Calibri" w:hAnsi="Calibri"/>
    </w:rPr>
  </w:style>
  <w:style w:type="character" w:default="1" w:styleId="26">
    <w:name w:val="Default Paragraph Font"/>
    <w:qFormat/>
    <w:uiPriority w:val="0"/>
  </w:style>
  <w:style w:type="table" w:default="1" w:styleId="25">
    <w:name w:val="Normal Table"/>
    <w:semiHidden/>
    <w:qFormat/>
    <w:uiPriority w:val="0"/>
    <w:tblPr>
      <w:tblCellMar>
        <w:top w:w="0" w:type="dxa"/>
        <w:left w:w="108" w:type="dxa"/>
        <w:bottom w:w="0" w:type="dxa"/>
        <w:right w:w="108" w:type="dxa"/>
      </w:tblCellMar>
    </w:tblPr>
  </w:style>
  <w:style w:type="paragraph" w:styleId="11">
    <w:name w:val="Normal Indent"/>
    <w:basedOn w:val="1"/>
    <w:qFormat/>
    <w:uiPriority w:val="0"/>
    <w:pPr>
      <w:spacing w:line="400" w:lineRule="atLeast"/>
      <w:ind w:firstLine="200" w:firstLineChars="200"/>
    </w:pPr>
    <w:rPr>
      <w:rFonts w:ascii="Tahoma" w:hAnsi="Tahoma"/>
      <w:sz w:val="20"/>
    </w:rPr>
  </w:style>
  <w:style w:type="paragraph" w:styleId="12">
    <w:name w:val="caption"/>
    <w:basedOn w:val="1"/>
    <w:next w:val="1"/>
    <w:qFormat/>
    <w:uiPriority w:val="0"/>
    <w:rPr>
      <w:rFonts w:ascii="Arial" w:hAnsi="Arial" w:eastAsia="黑体"/>
      <w:sz w:val="20"/>
    </w:rPr>
  </w:style>
  <w:style w:type="paragraph" w:styleId="13">
    <w:name w:val="Document Map"/>
    <w:basedOn w:val="1"/>
    <w:qFormat/>
    <w:uiPriority w:val="0"/>
    <w:pPr>
      <w:shd w:val="clear" w:color="auto" w:fill="000080"/>
    </w:pPr>
  </w:style>
  <w:style w:type="paragraph" w:styleId="14">
    <w:name w:val="annotation text"/>
    <w:basedOn w:val="1"/>
    <w:qFormat/>
    <w:uiPriority w:val="0"/>
    <w:pPr>
      <w:jc w:val="left"/>
    </w:pPr>
  </w:style>
  <w:style w:type="paragraph" w:styleId="15">
    <w:name w:val="Body Text"/>
    <w:basedOn w:val="1"/>
    <w:qFormat/>
    <w:uiPriority w:val="0"/>
    <w:pPr>
      <w:suppressAutoHyphens/>
      <w:spacing w:after="120" w:afterLines="0" w:afterAutospacing="0"/>
      <w:jc w:val="left"/>
    </w:pPr>
    <w:rPr>
      <w:kern w:val="0"/>
      <w:sz w:val="24"/>
    </w:rPr>
  </w:style>
  <w:style w:type="paragraph" w:styleId="16">
    <w:name w:val="Body Text Indent"/>
    <w:basedOn w:val="1"/>
    <w:qFormat/>
    <w:uiPriority w:val="0"/>
    <w:pPr>
      <w:spacing w:line="300" w:lineRule="auto"/>
      <w:ind w:firstLine="435"/>
    </w:pPr>
    <w:rPr>
      <w:rFonts w:eastAsia="黑体"/>
      <w:sz w:val="30"/>
    </w:rPr>
  </w:style>
  <w:style w:type="paragraph" w:styleId="17">
    <w:name w:val="toc 3"/>
    <w:basedOn w:val="1"/>
    <w:next w:val="1"/>
    <w:qFormat/>
    <w:uiPriority w:val="39"/>
    <w:pPr>
      <w:ind w:left="840" w:leftChars="400"/>
    </w:pPr>
  </w:style>
  <w:style w:type="paragraph" w:styleId="18">
    <w:name w:val="Plain Text"/>
    <w:basedOn w:val="1"/>
    <w:qFormat/>
    <w:uiPriority w:val="0"/>
    <w:rPr>
      <w:rFonts w:ascii="宋体" w:hAnsi="Courier New" w:eastAsia="宋体" w:cs="Courier New"/>
      <w:kern w:val="2"/>
      <w:sz w:val="21"/>
      <w:szCs w:val="21"/>
      <w:lang w:val="en-US" w:eastAsia="zh-CN" w:bidi="ar-SA"/>
    </w:rPr>
  </w:style>
  <w:style w:type="paragraph" w:styleId="19">
    <w:name w:val="Balloon Text"/>
    <w:basedOn w:val="1"/>
    <w:qFormat/>
    <w:uiPriority w:val="0"/>
    <w:rPr>
      <w:sz w:val="18"/>
    </w:rPr>
  </w:style>
  <w:style w:type="paragraph" w:styleId="20">
    <w:name w:val="footer"/>
    <w:basedOn w:val="1"/>
    <w:qFormat/>
    <w:uiPriority w:val="0"/>
    <w:pPr>
      <w:tabs>
        <w:tab w:val="center" w:pos="4320"/>
        <w:tab w:val="right" w:pos="8640"/>
      </w:tabs>
      <w:snapToGrid w:val="0"/>
      <w:jc w:val="left"/>
    </w:pPr>
    <w:rPr>
      <w:sz w:val="18"/>
    </w:rPr>
  </w:style>
  <w:style w:type="paragraph" w:styleId="21">
    <w:name w:val="header"/>
    <w:basedOn w:val="1"/>
    <w:link w:val="32"/>
    <w:qFormat/>
    <w:uiPriority w:val="0"/>
    <w:pPr>
      <w:pBdr>
        <w:bottom w:val="single" w:color="auto" w:sz="6" w:space="1"/>
      </w:pBdr>
      <w:tabs>
        <w:tab w:val="center" w:pos="4153"/>
        <w:tab w:val="right" w:pos="8306"/>
      </w:tabs>
      <w:snapToGrid w:val="0"/>
      <w:jc w:val="center"/>
    </w:pPr>
    <w:rPr>
      <w:kern w:val="2"/>
      <w:sz w:val="18"/>
    </w:rPr>
  </w:style>
  <w:style w:type="paragraph" w:styleId="22">
    <w:name w:val="toc 1"/>
    <w:basedOn w:val="1"/>
    <w:next w:val="1"/>
    <w:qFormat/>
    <w:uiPriority w:val="39"/>
  </w:style>
  <w:style w:type="paragraph" w:styleId="23">
    <w:name w:val="toc 2"/>
    <w:basedOn w:val="1"/>
    <w:next w:val="1"/>
    <w:qFormat/>
    <w:uiPriority w:val="39"/>
    <w:pPr>
      <w:ind w:left="420" w:leftChars="200"/>
    </w:pPr>
  </w:style>
  <w:style w:type="paragraph" w:styleId="24">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character" w:styleId="27">
    <w:name w:val="page number"/>
    <w:basedOn w:val="26"/>
    <w:qFormat/>
    <w:uiPriority w:val="0"/>
  </w:style>
  <w:style w:type="character" w:styleId="28">
    <w:name w:val="Hyperlink"/>
    <w:qFormat/>
    <w:uiPriority w:val="99"/>
    <w:rPr>
      <w:color w:val="0000FF"/>
      <w:u w:val="single"/>
    </w:rPr>
  </w:style>
  <w:style w:type="character" w:customStyle="1" w:styleId="29">
    <w:name w:val="标题 2 Char"/>
    <w:link w:val="3"/>
    <w:qFormat/>
    <w:uiPriority w:val="0"/>
    <w:rPr>
      <w:rFonts w:ascii="Arial" w:hAnsi="Arial" w:eastAsia="黑体"/>
      <w:sz w:val="28"/>
    </w:rPr>
  </w:style>
  <w:style w:type="character" w:customStyle="1" w:styleId="30">
    <w:name w:val="标题 3 Char"/>
    <w:link w:val="4"/>
    <w:qFormat/>
    <w:uiPriority w:val="0"/>
    <w:rPr>
      <w:rFonts w:ascii="Arial" w:hAnsi="Arial" w:eastAsia="黑体"/>
      <w:kern w:val="2"/>
      <w:sz w:val="24"/>
      <w:lang w:val="en-US" w:eastAsia="zh-CN"/>
    </w:rPr>
  </w:style>
  <w:style w:type="character" w:customStyle="1" w:styleId="31">
    <w:name w:val="标题 4 Char"/>
    <w:link w:val="5"/>
    <w:qFormat/>
    <w:uiPriority w:val="0"/>
    <w:rPr>
      <w:rFonts w:ascii="Calibri" w:hAnsi="Calibri"/>
      <w:b/>
      <w:sz w:val="28"/>
    </w:rPr>
  </w:style>
  <w:style w:type="character" w:customStyle="1" w:styleId="32">
    <w:name w:val="页眉 Char"/>
    <w:link w:val="21"/>
    <w:qFormat/>
    <w:uiPriority w:val="0"/>
    <w:rPr>
      <w:kern w:val="2"/>
      <w:sz w:val="18"/>
    </w:rPr>
  </w:style>
  <w:style w:type="character" w:customStyle="1" w:styleId="33">
    <w:name w:val="手册正文 Char Char"/>
    <w:link w:val="34"/>
    <w:qFormat/>
    <w:uiPriority w:val="0"/>
    <w:rPr>
      <w:rFonts w:ascii="Arial" w:hAnsi="Arial" w:eastAsia="宋体"/>
      <w:kern w:val="2"/>
      <w:sz w:val="24"/>
      <w:lang w:val="en-US" w:eastAsia="zh-CN"/>
    </w:rPr>
  </w:style>
  <w:style w:type="paragraph" w:customStyle="1" w:styleId="34">
    <w:name w:val="手册正文"/>
    <w:basedOn w:val="1"/>
    <w:link w:val="33"/>
    <w:qFormat/>
    <w:uiPriority w:val="0"/>
    <w:pPr>
      <w:spacing w:line="500" w:lineRule="atLeast"/>
      <w:ind w:firstLine="200" w:firstLineChars="200"/>
    </w:pPr>
    <w:rPr>
      <w:rFonts w:ascii="Arial" w:hAnsi="Arial" w:eastAsia="宋体"/>
      <w:kern w:val="2"/>
      <w:sz w:val="24"/>
      <w:lang w:val="en-US" w:eastAsia="zh-CN"/>
    </w:rPr>
  </w:style>
  <w:style w:type="character" w:customStyle="1" w:styleId="35">
    <w:name w:val="标书正文格式 Char Char Char Char"/>
    <w:link w:val="36"/>
    <w:qFormat/>
    <w:uiPriority w:val="0"/>
    <w:rPr>
      <w:rFonts w:eastAsia="楷体_GB2312"/>
      <w:kern w:val="2"/>
      <w:sz w:val="24"/>
      <w:lang w:val="en-US" w:eastAsia="zh-CN" w:bidi="ar-SA"/>
    </w:rPr>
  </w:style>
  <w:style w:type="paragraph" w:customStyle="1" w:styleId="36">
    <w:name w:val="标书正文格式 Char Char"/>
    <w:link w:val="35"/>
    <w:qFormat/>
    <w:uiPriority w:val="0"/>
    <w:pPr>
      <w:spacing w:line="360" w:lineRule="auto"/>
      <w:ind w:firstLine="200" w:firstLineChars="200"/>
    </w:pPr>
    <w:rPr>
      <w:rFonts w:ascii="Times New Roman" w:hAnsi="Times New Roman" w:eastAsia="楷体_GB2312" w:cs="Times New Roman"/>
      <w:kern w:val="2"/>
      <w:sz w:val="24"/>
      <w:lang w:val="en-US" w:eastAsia="zh-CN" w:bidi="ar-SA"/>
    </w:rPr>
  </w:style>
  <w:style w:type="character" w:customStyle="1" w:styleId="37">
    <w:name w:val="m1"/>
    <w:qFormat/>
    <w:uiPriority w:val="0"/>
    <w:rPr>
      <w:color w:val="0000FF"/>
    </w:rPr>
  </w:style>
  <w:style w:type="paragraph" w:customStyle="1" w:styleId="38">
    <w:name w:val="手册标题2"/>
    <w:basedOn w:val="3"/>
    <w:qFormat/>
    <w:uiPriority w:val="0"/>
    <w:pPr>
      <w:numPr>
        <w:ilvl w:val="1"/>
        <w:numId w:val="2"/>
      </w:numPr>
      <w:tabs>
        <w:tab w:val="left" w:pos="1571"/>
        <w:tab w:val="clear" w:pos="630"/>
      </w:tabs>
      <w:suppressAutoHyphens/>
      <w:wordWrap w:val="0"/>
      <w:spacing w:before="480" w:beforeLines="0" w:after="240" w:afterLines="0" w:line="413" w:lineRule="auto"/>
      <w:jc w:val="left"/>
    </w:pPr>
    <w:rPr>
      <w:rFonts w:eastAsia="宋体"/>
      <w:b/>
      <w:sz w:val="30"/>
    </w:rPr>
  </w:style>
  <w:style w:type="paragraph" w:customStyle="1" w:styleId="39">
    <w:name w:val="图文"/>
    <w:basedOn w:val="1"/>
    <w:qFormat/>
    <w:uiPriority w:val="0"/>
    <w:pPr>
      <w:adjustRightInd w:val="0"/>
      <w:textAlignment w:val="baseline"/>
    </w:pPr>
    <w:rPr>
      <w:rFonts w:ascii="宋体"/>
      <w:kern w:val="0"/>
      <w:sz w:val="18"/>
      <w:szCs w:val="20"/>
    </w:rPr>
  </w:style>
  <w:style w:type="paragraph" w:customStyle="1" w:styleId="40">
    <w:name w:val="p0"/>
    <w:basedOn w:val="1"/>
    <w:qFormat/>
    <w:uiPriority w:val="0"/>
    <w:pPr>
      <w:widowControl/>
    </w:pPr>
    <w:rPr>
      <w:kern w:val="0"/>
      <w:szCs w:val="21"/>
    </w:rPr>
  </w:style>
  <w:style w:type="paragraph" w:customStyle="1" w:styleId="41">
    <w:name w:val="List Paragraph1"/>
    <w:basedOn w:val="1"/>
    <w:qFormat/>
    <w:uiPriority w:val="0"/>
    <w:pPr>
      <w:ind w:firstLine="420" w:firstLineChars="200"/>
    </w:pPr>
  </w:style>
  <w:style w:type="paragraph" w:customStyle="1" w:styleId="42">
    <w:name w:val=" Char Char Char Char1 Char Char Char"/>
    <w:basedOn w:val="13"/>
    <w:qFormat/>
    <w:uiPriority w:val="0"/>
    <w:pPr>
      <w:widowControl/>
      <w:ind w:firstLine="454"/>
      <w:jc w:val="left"/>
    </w:pPr>
    <w:rPr>
      <w:rFonts w:ascii="Tahoma" w:hAnsi="Tahoma"/>
      <w:kern w:val="0"/>
    </w:rPr>
  </w:style>
  <w:style w:type="paragraph" w:customStyle="1" w:styleId="43">
    <w:name w:val="样式1"/>
    <w:basedOn w:val="5"/>
    <w:qFormat/>
    <w:uiPriority w:val="0"/>
  </w:style>
  <w:style w:type="paragraph" w:customStyle="1" w:styleId="44">
    <w:name w:val="图片"/>
    <w:qFormat/>
    <w:uiPriority w:val="0"/>
    <w:pPr>
      <w:adjustRightInd w:val="0"/>
      <w:jc w:val="center"/>
      <w:textAlignment w:val="baseline"/>
    </w:pPr>
    <w:rPr>
      <w:rFonts w:ascii="宋体" w:hAnsi="Times New Roman" w:eastAsia="宋体" w:cs="Times New Roman"/>
      <w:sz w:val="24"/>
      <w:lang w:val="en-US" w:eastAsia="zh-CN" w:bidi="ar-SA"/>
    </w:rPr>
  </w:style>
  <w:style w:type="paragraph" w:customStyle="1" w:styleId="45">
    <w:name w:val="标题2"/>
    <w:basedOn w:val="3"/>
    <w:qFormat/>
    <w:uiPriority w:val="0"/>
    <w:pPr>
      <w:tabs>
        <w:tab w:val="left" w:pos="1571"/>
        <w:tab w:val="clear" w:pos="630"/>
      </w:tabs>
    </w:pPr>
    <w:rPr>
      <w:sz w:val="28"/>
    </w:rPr>
  </w:style>
  <w:style w:type="paragraph" w:styleId="46">
    <w:name w:val="List Paragraph"/>
    <w:basedOn w:val="1"/>
    <w:qFormat/>
    <w:uiPriority w:val="0"/>
    <w:pPr>
      <w:ind w:firstLine="420" w:firstLineChars="200"/>
    </w:pPr>
    <w:rPr>
      <w:sz w:val="24"/>
    </w:rPr>
  </w:style>
  <w:style w:type="paragraph" w:customStyle="1" w:styleId="47">
    <w:name w:val=" Char"/>
    <w:basedOn w:val="1"/>
    <w:qFormat/>
    <w:uiPriority w:val="0"/>
  </w:style>
  <w:style w:type="paragraph" w:customStyle="1" w:styleId="48">
    <w:name w:val="Char"/>
    <w:basedOn w:val="1"/>
    <w:qFormat/>
    <w:uiPriority w:val="0"/>
  </w:style>
  <w:style w:type="paragraph" w:customStyle="1" w:styleId="49">
    <w:name w:val="标准文本"/>
    <w:basedOn w:val="1"/>
    <w:qFormat/>
    <w:uiPriority w:val="0"/>
    <w:pPr>
      <w:spacing w:line="360" w:lineRule="auto"/>
      <w:ind w:firstLine="480" w:firstLineChars="200"/>
    </w:pPr>
    <w:rPr>
      <w:rFonts w:eastAsia="宋体" w:cs="宋体"/>
      <w:kern w:val="2"/>
      <w:sz w:val="24"/>
      <w:lang w:val="en-US" w:eastAsia="zh-CN" w:bidi="ar-SA"/>
    </w:rPr>
  </w:style>
  <w:style w:type="paragraph" w:customStyle="1" w:styleId="50">
    <w:name w:val="footer"/>
    <w:basedOn w:val="1"/>
    <w:qFormat/>
    <w:uiPriority w:val="0"/>
    <w:pPr>
      <w:tabs>
        <w:tab w:val="center" w:pos="4153"/>
        <w:tab w:val="right" w:pos="8306"/>
      </w:tabs>
      <w:snapToGrid w:val="0"/>
      <w:jc w:val="left"/>
    </w:pPr>
    <w:rPr>
      <w:sz w:val="18"/>
      <w:szCs w:val="18"/>
    </w:rPr>
  </w:style>
  <w:style w:type="paragraph" w:customStyle="1" w:styleId="51">
    <w:name w:val="样式 样式 样式 小四 行距: 1.5 倍行距 + 左侧:  2 字符1 + 首行缩进:  2 字符"/>
    <w:basedOn w:val="52"/>
    <w:uiPriority w:val="0"/>
    <w:pPr>
      <w:ind w:firstLine="480" w:firstLineChars="200"/>
      <w:jc w:val="center"/>
    </w:pPr>
    <w:rPr>
      <w:rFonts w:ascii="宋体" w:hAnsi="宋体" w:eastAsia="宋体" w:cs="宋体"/>
      <w:kern w:val="2"/>
      <w:sz w:val="24"/>
      <w:szCs w:val="24"/>
      <w:lang w:val="en-US" w:eastAsia="zh-CN" w:bidi="ar-SA"/>
    </w:rPr>
  </w:style>
  <w:style w:type="paragraph" w:customStyle="1" w:styleId="52">
    <w:name w:val="样式 样式 小四 行距: 1.5 倍行距 + 左侧:  2 字符1"/>
    <w:basedOn w:val="53"/>
    <w:qFormat/>
    <w:uiPriority w:val="0"/>
    <w:pPr>
      <w:ind w:left="0" w:leftChars="0" w:firstLine="420" w:firstLineChars="175"/>
    </w:pPr>
    <w:rPr>
      <w:rFonts w:eastAsia="宋体" w:cs="宋体"/>
      <w:kern w:val="2"/>
      <w:sz w:val="24"/>
      <w:lang w:val="en-US" w:eastAsia="zh-CN" w:bidi="ar-SA"/>
    </w:rPr>
  </w:style>
  <w:style w:type="paragraph" w:customStyle="1" w:styleId="53">
    <w:name w:val="样式 小四 行距: 1.5 倍行距"/>
    <w:basedOn w:val="1"/>
    <w:qFormat/>
    <w:uiPriority w:val="0"/>
    <w:pPr>
      <w:spacing w:line="360" w:lineRule="auto"/>
      <w:ind w:left="200" w:leftChars="200"/>
    </w:pPr>
    <w:rPr>
      <w:rFonts w:cs="宋体"/>
      <w:sz w:val="24"/>
      <w:szCs w:val="20"/>
    </w:rPr>
  </w:style>
  <w:style w:type="paragraph" w:customStyle="1" w:styleId="54">
    <w:name w:val="_Style 2"/>
    <w:basedOn w:val="1"/>
    <w:qFormat/>
    <w:uiPriority w:val="0"/>
  </w:style>
  <w:style w:type="paragraph" w:customStyle="1" w:styleId="55">
    <w:name w:val="手册标题1"/>
    <w:basedOn w:val="2"/>
    <w:uiPriority w:val="0"/>
    <w:pPr>
      <w:pageBreakBefore/>
      <w:numPr>
        <w:ilvl w:val="0"/>
        <w:numId w:val="2"/>
      </w:numPr>
      <w:spacing w:before="480" w:beforeLines="0" w:after="480" w:afterLines="0" w:line="576" w:lineRule="auto"/>
      <w:jc w:val="left"/>
    </w:pPr>
    <w:rPr>
      <w:rFonts w:eastAsia="宋体"/>
      <w:b/>
      <w:snapToGrid w:val="0"/>
      <w:kern w:val="32"/>
      <w:sz w:val="32"/>
    </w:rPr>
  </w:style>
  <w:style w:type="paragraph" w:customStyle="1" w:styleId="56">
    <w:name w:val="p15"/>
    <w:basedOn w:val="1"/>
    <w:qFormat/>
    <w:uiPriority w:val="0"/>
    <w:pPr>
      <w:widowControl/>
      <w:spacing w:line="500" w:lineRule="atLeast"/>
      <w:ind w:firstLine="420"/>
    </w:pPr>
    <w:rPr>
      <w:rFonts w:ascii="Arial" w:hAnsi="Arial" w:cs="Arial"/>
      <w:kern w:val="0"/>
      <w:sz w:val="24"/>
    </w:rPr>
  </w:style>
  <w:style w:type="paragraph" w:customStyle="1" w:styleId="57">
    <w:name w:val="样式 首行缩进:  2 字符"/>
    <w:basedOn w:val="1"/>
    <w:qFormat/>
    <w:uiPriority w:val="0"/>
    <w:pPr>
      <w:ind w:firstLine="420" w:firstLineChars="200"/>
    </w:pPr>
    <w:rPr>
      <w:sz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0" Type="http://schemas.openxmlformats.org/officeDocument/2006/relationships/fontTable" Target="fontTable.xml"/><Relationship Id="rId7" Type="http://schemas.openxmlformats.org/officeDocument/2006/relationships/header" Target="header3.xml"/><Relationship Id="rId69" Type="http://schemas.openxmlformats.org/officeDocument/2006/relationships/numbering" Target="numbering.xml"/><Relationship Id="rId68" Type="http://schemas.openxmlformats.org/officeDocument/2006/relationships/customXml" Target="../customXml/item1.xml"/><Relationship Id="rId67" Type="http://schemas.openxmlformats.org/officeDocument/2006/relationships/image" Target="media/image51.png"/><Relationship Id="rId66" Type="http://schemas.openxmlformats.org/officeDocument/2006/relationships/image" Target="media/image50.wmf"/><Relationship Id="rId65" Type="http://schemas.openxmlformats.org/officeDocument/2006/relationships/oleObject" Target="embeddings/oleObject4.bin"/><Relationship Id="rId64" Type="http://schemas.openxmlformats.org/officeDocument/2006/relationships/image" Target="media/image49.emf"/><Relationship Id="rId63" Type="http://schemas.openxmlformats.org/officeDocument/2006/relationships/oleObject" Target="embeddings/oleObject3.bin"/><Relationship Id="rId62" Type="http://schemas.openxmlformats.org/officeDocument/2006/relationships/image" Target="media/image48.emf"/><Relationship Id="rId61" Type="http://schemas.openxmlformats.org/officeDocument/2006/relationships/oleObject" Target="embeddings/oleObject2.bin"/><Relationship Id="rId60" Type="http://schemas.openxmlformats.org/officeDocument/2006/relationships/image" Target="media/image47.png"/><Relationship Id="rId6" Type="http://schemas.openxmlformats.org/officeDocument/2006/relationships/footer" Target="footer2.xml"/><Relationship Id="rId59" Type="http://schemas.openxmlformats.org/officeDocument/2006/relationships/image" Target="media/image46.jpeg"/><Relationship Id="rId58" Type="http://schemas.openxmlformats.org/officeDocument/2006/relationships/image" Target="media/image45.jpeg"/><Relationship Id="rId57" Type="http://schemas.openxmlformats.org/officeDocument/2006/relationships/image" Target="media/image44.jpeg"/><Relationship Id="rId56" Type="http://schemas.openxmlformats.org/officeDocument/2006/relationships/image" Target="media/image43.png"/><Relationship Id="rId55" Type="http://schemas.openxmlformats.org/officeDocument/2006/relationships/image" Target="media/image42.png"/><Relationship Id="rId54" Type="http://schemas.openxmlformats.org/officeDocument/2006/relationships/image" Target="media/image41.jpeg"/><Relationship Id="rId53" Type="http://schemas.openxmlformats.org/officeDocument/2006/relationships/image" Target="media/image40.png"/><Relationship Id="rId52" Type="http://schemas.openxmlformats.org/officeDocument/2006/relationships/image" Target="media/image39.jpeg"/><Relationship Id="rId51" Type="http://schemas.openxmlformats.org/officeDocument/2006/relationships/image" Target="media/image38.png"/><Relationship Id="rId50" Type="http://schemas.openxmlformats.org/officeDocument/2006/relationships/image" Target="media/image37.jpeg"/><Relationship Id="rId5" Type="http://schemas.openxmlformats.org/officeDocument/2006/relationships/footer" Target="footer1.xml"/><Relationship Id="rId49" Type="http://schemas.openxmlformats.org/officeDocument/2006/relationships/image" Target="media/image36.jpeg"/><Relationship Id="rId48" Type="http://schemas.openxmlformats.org/officeDocument/2006/relationships/image" Target="media/image35.jpeg"/><Relationship Id="rId47" Type="http://schemas.openxmlformats.org/officeDocument/2006/relationships/image" Target="media/image34.jpeg"/><Relationship Id="rId46" Type="http://schemas.openxmlformats.org/officeDocument/2006/relationships/image" Target="media/image33.png"/><Relationship Id="rId45" Type="http://schemas.openxmlformats.org/officeDocument/2006/relationships/image" Target="media/image32.jpeg"/><Relationship Id="rId44" Type="http://schemas.openxmlformats.org/officeDocument/2006/relationships/image" Target="media/image31.jpeg"/><Relationship Id="rId43" Type="http://schemas.openxmlformats.org/officeDocument/2006/relationships/image" Target="media/image30.png"/><Relationship Id="rId42" Type="http://schemas.openxmlformats.org/officeDocument/2006/relationships/image" Target="media/image29.jpeg"/><Relationship Id="rId41" Type="http://schemas.openxmlformats.org/officeDocument/2006/relationships/image" Target="media/image28.jpeg"/><Relationship Id="rId40" Type="http://schemas.openxmlformats.org/officeDocument/2006/relationships/image" Target="media/image27.jpeg"/><Relationship Id="rId4" Type="http://schemas.openxmlformats.org/officeDocument/2006/relationships/header" Target="header2.xml"/><Relationship Id="rId39" Type="http://schemas.openxmlformats.org/officeDocument/2006/relationships/image" Target="media/image26.jpeg"/><Relationship Id="rId38" Type="http://schemas.openxmlformats.org/officeDocument/2006/relationships/image" Target="media/image25.jpeg"/><Relationship Id="rId37" Type="http://schemas.openxmlformats.org/officeDocument/2006/relationships/image" Target="media/image24.jpeg"/><Relationship Id="rId36" Type="http://schemas.openxmlformats.org/officeDocument/2006/relationships/image" Target="media/image23.jpeg"/><Relationship Id="rId35" Type="http://schemas.openxmlformats.org/officeDocument/2006/relationships/image" Target="media/image22.jpeg"/><Relationship Id="rId34" Type="http://schemas.openxmlformats.org/officeDocument/2006/relationships/image" Target="media/image21.jpeg"/><Relationship Id="rId33" Type="http://schemas.openxmlformats.org/officeDocument/2006/relationships/image" Target="media/image20.jpeg"/><Relationship Id="rId32" Type="http://schemas.openxmlformats.org/officeDocument/2006/relationships/image" Target="media/image19.jpeg"/><Relationship Id="rId31" Type="http://schemas.openxmlformats.org/officeDocument/2006/relationships/image" Target="media/image18.png"/><Relationship Id="rId30" Type="http://schemas.openxmlformats.org/officeDocument/2006/relationships/image" Target="media/image17.png"/><Relationship Id="rId3" Type="http://schemas.openxmlformats.org/officeDocument/2006/relationships/header" Target="header1.xml"/><Relationship Id="rId29" Type="http://schemas.openxmlformats.org/officeDocument/2006/relationships/image" Target="media/image16.jpeg"/><Relationship Id="rId28" Type="http://schemas.openxmlformats.org/officeDocument/2006/relationships/image" Target="media/image15.jpeg"/><Relationship Id="rId27" Type="http://schemas.openxmlformats.org/officeDocument/2006/relationships/image" Target="media/image14.jpeg"/><Relationship Id="rId26" Type="http://schemas.openxmlformats.org/officeDocument/2006/relationships/image" Target="media/image13.jpeg"/><Relationship Id="rId25" Type="http://schemas.openxmlformats.org/officeDocument/2006/relationships/image" Target="media/image12.jpeg"/><Relationship Id="rId24" Type="http://schemas.openxmlformats.org/officeDocument/2006/relationships/image" Target="media/image11.png"/><Relationship Id="rId23" Type="http://schemas.openxmlformats.org/officeDocument/2006/relationships/image" Target="media/image10.jpeg"/><Relationship Id="rId22" Type="http://schemas.openxmlformats.org/officeDocument/2006/relationships/image" Target="media/image9.jpeg"/><Relationship Id="rId21" Type="http://schemas.openxmlformats.org/officeDocument/2006/relationships/image" Target="media/image8.jpe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jpeg"/><Relationship Id="rId18" Type="http://schemas.openxmlformats.org/officeDocument/2006/relationships/image" Target="media/image5.jpe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oleObject" Target="embeddings/oleObject1.bin"/><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封面页"/>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supcon</Company>
  <Pages>79</Pages>
  <Words>18924</Words>
  <Characters>20556</Characters>
  <Lines>260</Lines>
  <Paragraphs>73</Paragraphs>
  <TotalTime>0</TotalTime>
  <ScaleCrop>false</ScaleCrop>
  <LinksUpToDate>false</LinksUpToDate>
  <CharactersWithSpaces>20843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2019-05-04T09:37:00Z</dcterms:created>
  <dc:creator>张洪华</dc:creator>
  <cp:lastModifiedBy>cai</cp:lastModifiedBy>
  <cp:lastPrinted>2007-05-29T06:49:00Z</cp:lastPrinted>
  <dcterms:modified xsi:type="dcterms:W3CDTF">2026-06-03T08:53:28Z</dcterms:modified>
  <dc:title>合同编号：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eyJoZGlkIjoiZGU0Y2Q1MTk0Y2Q0YjljYTMzMzZjMjcwYmFkZDUxNTciLCJ1c2VySWQiOiI0NDk4NDQyNTgifQ==</vt:lpwstr>
  </property>
  <property fmtid="{D5CDD505-2E9C-101B-9397-08002B2CF9AE}" pid="4" name="ICV">
    <vt:lpwstr>8CD8823980E54B3F8D0352E1EF401387_13</vt:lpwstr>
  </property>
</Properties>
</file>