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p>
    <w:p>
      <w:pPr>
        <w:spacing w:after="0"/>
      </w:pPr>
    </w:p>
    <w:p>
      <w:pPr>
        <w:spacing w:after="0"/>
      </w:pPr>
    </w:p>
    <w:p>
      <w:pPr>
        <w:spacing w:after="0"/>
      </w:pPr>
    </w:p>
    <w:p>
      <w:pPr>
        <w:spacing w:after="0"/>
      </w:pPr>
    </w:p>
    <w:p>
      <w:pPr>
        <w:spacing w:after="200"/>
        <w:jc w:val="center"/>
      </w:pPr>
      <w:r>
        <w:rPr>
          <w:rFonts w:ascii="SimHei" w:cs="SimHei" w:eastAsia="SimHei" w:hAnsi="SimHei"/>
          <w:b/>
          <w:bCs/>
          <w:color w:val="1F4E79"/>
          <w:sz w:val="56"/>
          <w:szCs w:val="56"/>
        </w:rPr>
        <w:t xml:space="preserve">园区能碳管理系统</w:t>
      </w:r>
    </w:p>
    <w:p>
      <w:pPr>
        <w:spacing w:after="600"/>
        <w:jc w:val="center"/>
      </w:pPr>
      <w:r>
        <w:rPr>
          <w:rFonts w:ascii="SimHei" w:cs="SimHei" w:eastAsia="SimHei" w:hAnsi="SimHei"/>
          <w:b/>
          <w:bCs/>
          <w:color w:val="1F4E79"/>
          <w:sz w:val="56"/>
          <w:szCs w:val="56"/>
        </w:rPr>
        <w:t xml:space="preserve">综合解决方案</w:t>
      </w:r>
    </w:p>
    <w:p>
      <w:pPr>
        <w:spacing w:after="100"/>
        <w:jc w:val="center"/>
      </w:pPr>
      <w:r>
        <w:rPr>
          <w:rFonts w:ascii="SimSun" w:cs="SimSun" w:eastAsia="SimSun" w:hAnsi="SimSun"/>
          <w:color w:val="2E75B6"/>
          <w:sz w:val="32"/>
          <w:szCs w:val="32"/>
        </w:rPr>
        <w:t xml:space="preserve">能耗监测 · 能碳核算 · 能碳交易</w:t>
      </w:r>
    </w:p>
    <w:p>
      <w:pPr>
        <w:spacing w:after="60"/>
        <w:jc w:val="center"/>
      </w:pPr>
      <w:r>
        <w:rPr>
          <w:rFonts w:ascii="SimSun" w:cs="SimSun" w:eastAsia="SimSun" w:hAnsi="SimSun"/>
          <w:color w:val="666666"/>
          <w:sz w:val="28"/>
          <w:szCs w:val="28"/>
        </w:rPr>
        <w:t xml:space="preserve">一体化系统性解决方案</w:t>
      </w:r>
    </w:p>
    <w:p>
      <w:pPr>
        <w:spacing w:after="0"/>
      </w:pPr>
    </w:p>
    <w:p>
      <w:pPr>
        <w:spacing w:after="0"/>
      </w:pPr>
    </w:p>
    <w:p>
      <w:pPr>
        <w:spacing w:after="0"/>
      </w:pPr>
    </w:p>
    <w:p>
      <w:pPr>
        <w:spacing w:after="0"/>
      </w:pPr>
    </w:p>
    <w:p>
      <w:pPr>
        <w:spacing w:after="0"/>
      </w:pPr>
    </w:p>
    <w:p>
      <w:pPr>
        <w:spacing w:after="0"/>
      </w:pPr>
    </w:p>
    <w:p>
      <w:pPr>
        <w:spacing w:after="0"/>
      </w:pPr>
    </w:p>
    <w:p>
      <w:pPr>
        <w:spacing w:after="60"/>
        <w:jc w:val="center"/>
      </w:pPr>
      <w:r>
        <w:rPr>
          <w:rFonts w:ascii="SimSun" w:cs="SimSun" w:eastAsia="SimSun" w:hAnsi="SimSun"/>
          <w:color w:val="666666"/>
          <w:sz w:val="24"/>
          <w:szCs w:val="24"/>
        </w:rPr>
        <w:t xml:space="preserve">版本：V3.1 （完整整合原通微能耗管理系统方案）</w:t>
      </w:r>
    </w:p>
    <w:p>
      <w:pPr>
        <w:spacing w:after="60"/>
        <w:jc w:val="center"/>
      </w:pPr>
      <w:r>
        <w:rPr>
          <w:rFonts w:ascii="SimSun" w:cs="SimSun" w:eastAsia="SimSun" w:hAnsi="SimSun"/>
          <w:color w:val="666666"/>
          <w:sz w:val="24"/>
          <w:szCs w:val="24"/>
        </w:rPr>
        <w:t xml:space="preserve">编制日期：2026年6月</w:t>
      </w:r>
    </w:p>
    <w:p>
      <w:pPr>
        <w:spacing w:after="60"/>
        <w:jc w:val="center"/>
      </w:pPr>
      <w:r>
        <w:rPr>
          <w:rFonts w:ascii="SimSun" w:cs="SimSun" w:eastAsia="SimSun" w:hAnsi="SimSun"/>
          <w:color w:val="666666"/>
          <w:sz w:val="24"/>
          <w:szCs w:val="24"/>
        </w:rPr>
        <w:t xml:space="preserve">广州通微智慧科技有限公司</w:t>
      </w:r>
    </w:p>
    <w:p>
      <w:pPr>
        <w:jc w:val="center"/>
      </w:pPr>
      <w:r>
        <w:rPr>
          <w:rFonts w:ascii="SimSun" w:cs="SimSun" w:eastAsia="SimSun" w:hAnsi="SimSun"/>
          <w:color w:val="999999"/>
          <w:sz w:val="22"/>
          <w:szCs w:val="22"/>
        </w:rPr>
        <w:t xml:space="preserve">基于国家最新能碳核算政策体系及通微能耗管理系统方案整合编制</w:t>
      </w:r>
    </w:p>
    <w:p>
      <w:r>
        <w:br w:type="page"/>
      </w:r>
    </w:p>
    <w:p>
      <w:pPr>
        <w:sectPr>
          <w:pgSz w:w="11906" w:h="16838" w:orient="portrait"/>
          <w:pgMar w:top="1440" w:right="1440" w:bottom="1440" w:left="1440" w:header="708" w:footer="708" w:gutter="0"/>
          <w:pgNumType/>
          <w:docGrid w:linePitch="360"/>
        </w:sectPr>
      </w:pPr>
    </w:p>
    <w:p>
      <w:pPr>
        <w:pStyle w:val="Heading1"/>
      </w:pPr>
      <w: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pPr>
        <w:pStyle w:val="Heading1"/>
      </w:pPr>
      <w:r>
        <w:t xml:space="preserve">一、概述</w:t>
      </w:r>
    </w:p>
    <w:p>
      <w:pPr>
        <w:pStyle w:val="Heading2"/>
      </w:pPr>
      <w:r>
        <w:t xml:space="preserve">1.1 项目背景</w:t>
      </w:r>
    </w:p>
    <w:p>
      <w:pPr>
        <w:spacing w:after="100" w:line="360"/>
      </w:pPr>
      <w:r>
        <w:rPr>
          <w:rFonts w:ascii="SimSun" w:cs="SimSun" w:eastAsia="SimSun" w:hAnsi="SimSun"/>
          <w:sz w:val="22"/>
          <w:szCs w:val="22"/>
        </w:rPr>
        <w:t xml:space="preserve">建筑业的发展在推动国民经济巨大发展的同时，也带来了极大的能源消耗。目前，建筑耗能己与交通耗能、工业耗能并列，成为中国能源消耗的三大"耗能大户"。随着各类建筑的大量兴建和人们对建筑的居住舒适度的要求越来越高，建筑耗能急剧增加。我国拥有当今世界上最大的建筑市场，每年的建筑量约占世界建筑总量的40%。</w:t>
      </w:r>
    </w:p>
    <w:p>
      <w:pPr>
        <w:spacing w:after="100" w:line="360"/>
      </w:pPr>
      <w:r>
        <w:rPr>
          <w:rFonts w:ascii="SimSun" w:cs="SimSun" w:eastAsia="SimSun" w:hAnsi="SimSun"/>
          <w:sz w:val="22"/>
          <w:szCs w:val="22"/>
        </w:rPr>
        <w:t xml:space="preserve">面对日益严峻的环境形势和"双碳"目标的持续推进，建筑及园区不能再继续依赖高能量的输入来换取内部环境的舒适，而应积极探索减少能耗和碳排放的有效途径。2026年全国碳市场正式扩围至发电、钢铁、水泥、铝冶炼四大行业，石化、化工、建材、有色、造纸、民航等预备行业已纳入排放报告管理，碳排放管理已成为各类园区的"必选项"。</w:t>
      </w:r>
    </w:p>
    <w:p>
      <w:pPr>
        <w:pStyle w:val="Heading2"/>
      </w:pPr>
      <w:r>
        <w:t xml:space="preserve">1.2 建立能碳管理系统的意义</w:t>
      </w:r>
    </w:p>
    <w:p>
      <w:pPr>
        <w:spacing w:after="100" w:line="360"/>
      </w:pPr>
      <w:r>
        <w:rPr>
          <w:rFonts w:ascii="SimSun" w:cs="SimSun" w:eastAsia="SimSun" w:hAnsi="SimSun"/>
          <w:sz w:val="22"/>
          <w:szCs w:val="22"/>
        </w:rPr>
        <w:t xml:space="preserve">没有能耗监测，就没有能耗管理。建立能碳管理系统的意义可归结为：</w:t>
      </w:r>
    </w:p>
    <w:p>
      <w:pPr>
        <w:pStyle w:val="ListParagraph"/>
        <w:numPr>
          <w:ilvl w:val="0"/>
          <w:numId w:val="2"/>
        </w:numPr>
        <w:spacing w:after="40" w:line="340"/>
      </w:pPr>
      <w:r>
        <w:rPr>
          <w:rFonts w:ascii="SimSun" w:cs="SimSun" w:eastAsia="SimSun" w:hAnsi="SimSun"/>
          <w:sz w:val="22"/>
          <w:szCs w:val="22"/>
        </w:rPr>
        <w:t xml:space="preserve">行为节能与管理节能：通过实时数据反馈，引导用能行为改善；</w:t>
      </w:r>
    </w:p>
    <w:p>
      <w:pPr>
        <w:pStyle w:val="ListParagraph"/>
        <w:numPr>
          <w:ilvl w:val="0"/>
          <w:numId w:val="2"/>
        </w:numPr>
        <w:spacing w:after="40" w:line="340"/>
      </w:pPr>
      <w:r>
        <w:rPr>
          <w:rFonts w:ascii="SimSun" w:cs="SimSun" w:eastAsia="SimSun" w:hAnsi="SimSun"/>
          <w:sz w:val="22"/>
          <w:szCs w:val="22"/>
        </w:rPr>
        <w:t xml:space="preserve">有助于建立健全运行维护管理制度；</w:t>
      </w:r>
    </w:p>
    <w:p>
      <w:pPr>
        <w:pStyle w:val="ListParagraph"/>
        <w:numPr>
          <w:ilvl w:val="0"/>
          <w:numId w:val="2"/>
        </w:numPr>
        <w:spacing w:after="40" w:line="340"/>
      </w:pPr>
      <w:r>
        <w:rPr>
          <w:rFonts w:ascii="SimSun" w:cs="SimSun" w:eastAsia="SimSun" w:hAnsi="SimSun"/>
          <w:sz w:val="22"/>
          <w:szCs w:val="22"/>
        </w:rPr>
        <w:t xml:space="preserve">积累实时能耗与碳排放数据，为节能降碳研究奠定基础；</w:t>
      </w:r>
    </w:p>
    <w:p>
      <w:pPr>
        <w:pStyle w:val="ListParagraph"/>
        <w:numPr>
          <w:ilvl w:val="0"/>
          <w:numId w:val="2"/>
        </w:numPr>
        <w:spacing w:after="40" w:line="340"/>
      </w:pPr>
      <w:r>
        <w:rPr>
          <w:rFonts w:ascii="SimSun" w:cs="SimSun" w:eastAsia="SimSun" w:hAnsi="SimSun"/>
          <w:sz w:val="22"/>
          <w:szCs w:val="22"/>
        </w:rPr>
        <w:t xml:space="preserve">用能预测及能耗诊断，及时发现异常；</w:t>
      </w:r>
    </w:p>
    <w:p>
      <w:pPr>
        <w:pStyle w:val="ListParagraph"/>
        <w:numPr>
          <w:ilvl w:val="0"/>
          <w:numId w:val="2"/>
        </w:numPr>
        <w:spacing w:after="40" w:line="340"/>
      </w:pPr>
      <w:r>
        <w:rPr>
          <w:rFonts w:ascii="SimSun" w:cs="SimSun" w:eastAsia="SimSun" w:hAnsi="SimSun"/>
          <w:sz w:val="22"/>
          <w:szCs w:val="22"/>
        </w:rPr>
        <w:t xml:space="preserve">减少管理环节，优化管理流程，建立客观能源消耗评价体系；</w:t>
      </w:r>
    </w:p>
    <w:p>
      <w:pPr>
        <w:pStyle w:val="ListParagraph"/>
        <w:numPr>
          <w:ilvl w:val="0"/>
          <w:numId w:val="2"/>
        </w:numPr>
        <w:spacing w:after="40" w:line="340"/>
      </w:pPr>
      <w:r>
        <w:rPr>
          <w:rFonts w:ascii="SimSun" w:cs="SimSun" w:eastAsia="SimSun" w:hAnsi="SimSun"/>
          <w:sz w:val="22"/>
          <w:szCs w:val="22"/>
        </w:rPr>
        <w:t xml:space="preserve">满足碳市场合规要求，完成碳排放报告、核查与配额清缴；</w:t>
      </w:r>
    </w:p>
    <w:p>
      <w:pPr>
        <w:pStyle w:val="ListParagraph"/>
        <w:numPr>
          <w:ilvl w:val="0"/>
          <w:numId w:val="2"/>
        </w:numPr>
        <w:spacing w:after="40" w:line="340"/>
      </w:pPr>
      <w:r>
        <w:rPr>
          <w:rFonts w:ascii="SimSun" w:cs="SimSun" w:eastAsia="SimSun" w:hAnsi="SimSun"/>
          <w:sz w:val="22"/>
          <w:szCs w:val="22"/>
        </w:rPr>
        <w:t xml:space="preserve">开发CCER等碳资产，参与碳交易，实现碳资产增值。</w:t>
      </w:r>
    </w:p>
    <w:p>
      <w:pPr>
        <w:pStyle w:val="Heading2"/>
      </w:pPr>
      <w:r>
        <w:t xml:space="preserve">1.3 公司业务简介</w:t>
      </w:r>
    </w:p>
    <w:p>
      <w:pPr>
        <w:spacing w:after="100" w:line="360"/>
      </w:pPr>
      <w:r>
        <w:rPr>
          <w:rFonts w:ascii="SimSun" w:cs="SimSun" w:eastAsia="SimSun" w:hAnsi="SimSun"/>
          <w:sz w:val="22"/>
          <w:szCs w:val="22"/>
        </w:rPr>
        <w:t xml:space="preserve">通微智慧科技有限公司作为工业级智能物联应用解决方案的领先厂商，从环境监控切入，推出集信息采集、设备控制、数据分析于一体的智慧能碳管理系统解决方案。系统实现园区内立体、全方位、自动化监测，做到实时、在线查看和管理能耗信息、环境信息、碳排放信息，并可对历史数据进行回放、分析，从而实现信息化、智能化的监测和管理。</w:t>
      </w:r>
    </w:p>
    <w:p>
      <w:pPr>
        <w:spacing w:after="100" w:line="360"/>
      </w:pPr>
      <w:r>
        <w:rPr>
          <w:rFonts w:ascii="SimSun" w:cs="SimSun" w:eastAsia="SimSun" w:hAnsi="SimSun"/>
          <w:sz w:val="22"/>
          <w:szCs w:val="22"/>
        </w:rPr>
        <w:t xml:space="preserve">本套监控系统具有嵌入式、网络化、集成度高等优点。现场设备全部采用嵌入式设备（低功耗ARM芯片），可靠性高，稳定性好。组网方式多样，广域网支持以太网/4G/5G/NBIOT等物联网技术；本地基于有线RS485以及无线LORA/ZIGBEE，组网灵活。监控系统使用标准协议，扩展方便、便于集成。</w:t>
      </w:r>
    </w:p>
    <w:p>
      <w:pPr>
        <w:pStyle w:val="Heading2"/>
      </w:pPr>
      <w:r>
        <w:t xml:space="preserve">1.4 方案目标用户</w:t>
      </w:r>
    </w:p>
    <w:p>
      <w:pPr>
        <w:pStyle w:val="ListParagraph"/>
        <w:numPr>
          <w:ilvl w:val="0"/>
          <w:numId w:val="2"/>
        </w:numPr>
        <w:spacing w:after="40" w:line="340"/>
      </w:pPr>
      <w:r>
        <w:rPr>
          <w:rFonts w:ascii="SimSun" w:cs="SimSun" w:eastAsia="SimSun" w:hAnsi="SimSun"/>
          <w:sz w:val="22"/>
          <w:szCs w:val="22"/>
        </w:rPr>
        <w:t xml:space="preserve">园区管委会——提供区域级能碳数据总览与决策支撑；</w:t>
      </w:r>
    </w:p>
    <w:p>
      <w:pPr>
        <w:pStyle w:val="ListParagraph"/>
        <w:numPr>
          <w:ilvl w:val="0"/>
          <w:numId w:val="2"/>
        </w:numPr>
        <w:spacing w:after="40" w:line="340"/>
      </w:pPr>
      <w:r>
        <w:rPr>
          <w:rFonts w:ascii="SimSun" w:cs="SimSun" w:eastAsia="SimSun" w:hAnsi="SimSun"/>
          <w:sz w:val="22"/>
          <w:szCs w:val="22"/>
        </w:rPr>
        <w:t xml:space="preserve">重点控排企业——满足碳市场合规要求，完成碳排放报告、核查与配额清缴；</w:t>
      </w:r>
    </w:p>
    <w:p>
      <w:pPr>
        <w:pStyle w:val="ListParagraph"/>
        <w:numPr>
          <w:ilvl w:val="0"/>
          <w:numId w:val="2"/>
        </w:numPr>
        <w:spacing w:after="40" w:line="340"/>
      </w:pPr>
      <w:r>
        <w:rPr>
          <w:rFonts w:ascii="SimSun" w:cs="SimSun" w:eastAsia="SimSun" w:hAnsi="SimSun"/>
          <w:sz w:val="22"/>
          <w:szCs w:val="22"/>
        </w:rPr>
        <w:t xml:space="preserve">出口型企业——实现产品碳足迹核算，应对欧盟CBAM等国际贸易壁垒；</w:t>
      </w:r>
    </w:p>
    <w:p>
      <w:pPr>
        <w:pStyle w:val="ListParagraph"/>
        <w:numPr>
          <w:ilvl w:val="0"/>
          <w:numId w:val="2"/>
        </w:numPr>
        <w:spacing w:after="40" w:line="340"/>
      </w:pPr>
      <w:r>
        <w:rPr>
          <w:rFonts w:ascii="SimSun" w:cs="SimSun" w:eastAsia="SimSun" w:hAnsi="SimSun"/>
          <w:sz w:val="22"/>
          <w:szCs w:val="22"/>
        </w:rPr>
        <w:t xml:space="preserve">碳资产管理机构——开发CCER等碳资产，开展碳交易与碳金融业务。</w:t>
      </w:r>
    </w:p>
    <w:p>
      <w:r>
        <w:br w:type="page"/>
      </w:r>
    </w:p>
    <w:p>
      <w:pPr>
        <w:pStyle w:val="Heading1"/>
      </w:pPr>
      <w:r>
        <w:t xml:space="preserve">二、政策背景与依据</w:t>
      </w:r>
    </w:p>
    <w:p>
      <w:pPr>
        <w:spacing w:after="100" w:line="360"/>
      </w:pPr>
      <w:r>
        <w:rPr>
          <w:rFonts w:ascii="SimSun" w:cs="SimSun" w:eastAsia="SimSun" w:hAnsi="SimSun"/>
          <w:sz w:val="22"/>
          <w:szCs w:val="22"/>
        </w:rPr>
        <w:t xml:space="preserve">本方案严格依据国家现行政策法规编制。主要政策依据如下：</w:t>
      </w:r>
    </w:p>
    <w:p>
      <w:pPr>
        <w:pStyle w:val="Heading2"/>
      </w:pPr>
      <w:r>
        <w:t xml:space="preserve">2.1 顶层框架政策</w:t>
      </w:r>
    </w:p>
    <w:p>
      <w:pPr>
        <w:spacing w:after="80" w:line="360"/>
      </w:pPr>
      <w:r>
        <w:rPr>
          <w:rFonts w:ascii="SimSun" w:cs="SimSun" w:eastAsia="SimSun" w:hAnsi="SimSun"/>
          <w:b/>
          <w:bCs/>
          <w:sz w:val="22"/>
          <w:szCs w:val="22"/>
        </w:rPr>
        <w:t xml:space="preserve">《关于加快建立统一规范的碳排放统计核算体系实施方案》（2022年8月）</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由国家发改委、国家统计局、生态环境部联合发布，确立"国家—省—企业"三级核算体系顶层设计，是能碳核算行业的"基本法"。</w:t>
      </w:r>
    </w:p>
    <w:p>
      <w:pPr>
        <w:spacing w:after="80" w:line="360"/>
      </w:pPr>
      <w:r>
        <w:rPr>
          <w:rFonts w:ascii="SimSun" w:cs="SimSun" w:eastAsia="SimSun" w:hAnsi="SimSun"/>
          <w:b/>
          <w:bCs/>
          <w:sz w:val="22"/>
          <w:szCs w:val="22"/>
        </w:rPr>
        <w:t xml:space="preserve">《中共中央办公厅 国务院办公厅关于推进绿色低碳转型 加强全国碳市场建设的意见》（2025年）</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明确碳市场核心地位，2026年碳市场已扩围至发电、钢铁、水泥、铝冶炼四大行业，约2200家重点排放单位纳入管控。</w:t>
      </w:r>
    </w:p>
    <w:p>
      <w:pPr>
        <w:spacing w:after="80" w:line="360"/>
      </w:pPr>
      <w:r>
        <w:rPr>
          <w:rFonts w:ascii="SimSun" w:cs="SimSun" w:eastAsia="SimSun" w:hAnsi="SimSun"/>
          <w:b/>
          <w:bCs/>
          <w:sz w:val="22"/>
          <w:szCs w:val="22"/>
        </w:rPr>
        <w:t xml:space="preserve">《关于建立碳足迹管理体系的实施方案》（2024年）</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建立覆盖产品全生命周期的碳足迹管理体系，是产品级碳核算业务的直接政策驱动。</w:t>
      </w:r>
    </w:p>
    <w:p>
      <w:pPr>
        <w:pStyle w:val="Heading2"/>
      </w:pPr>
      <w:r>
        <w:t xml:space="preserve">2.2 核算标准与方法学</w:t>
      </w:r>
    </w:p>
    <w:p>
      <w:pPr>
        <w:spacing w:after="80" w:line="360"/>
      </w:pPr>
      <w:r>
        <w:rPr>
          <w:rFonts w:ascii="SimSun" w:cs="SimSun" w:eastAsia="SimSun" w:hAnsi="SimSun"/>
          <w:b/>
          <w:bCs/>
          <w:sz w:val="22"/>
          <w:szCs w:val="22"/>
        </w:rPr>
        <w:t xml:space="preserve">《省级温室气体清单编制指南（2025年版）》（环办气候〔2026〕1号）</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覆盖能源活动、工业生产过程、农业、土地利用变化和林业、废弃物处理五大领域，是区域/园区级碳核算的核心方法论。</w:t>
      </w:r>
    </w:p>
    <w:p>
      <w:pPr>
        <w:spacing w:after="80" w:line="360"/>
      </w:pPr>
      <w:r>
        <w:rPr>
          <w:rFonts w:ascii="SimSun" w:cs="SimSun" w:eastAsia="SimSun" w:hAnsi="SimSun"/>
          <w:b/>
          <w:bCs/>
          <w:sz w:val="22"/>
          <w:szCs w:val="22"/>
        </w:rPr>
        <w:t xml:space="preserve">《企业温室气体排放核算与报告指南》（分行业更新）</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发电、钢铁、水泥、铝冶炼等行业已发布对应的核算报告与核查技术规范。</w:t>
      </w:r>
    </w:p>
    <w:p>
      <w:pPr>
        <w:spacing w:after="80" w:line="360"/>
      </w:pPr>
      <w:r>
        <w:rPr>
          <w:rFonts w:ascii="SimSun" w:cs="SimSun" w:eastAsia="SimSun" w:hAnsi="SimSun"/>
          <w:b/>
          <w:bCs/>
          <w:sz w:val="22"/>
          <w:szCs w:val="22"/>
        </w:rPr>
        <w:t xml:space="preserve">CCER方法学系列</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涵盖地热能供暖、可再生能源电解水制氢、建筑能效提升等领域，每份方法学对应一个可交易的碳资产品类。</w:t>
      </w:r>
    </w:p>
    <w:p>
      <w:pPr>
        <w:pStyle w:val="Heading2"/>
      </w:pPr>
      <w:r>
        <w:t xml:space="preserve">2.3 因子数据与数据库</w:t>
      </w:r>
    </w:p>
    <w:p>
      <w:pPr>
        <w:spacing w:after="80" w:line="360"/>
      </w:pPr>
      <w:r>
        <w:rPr>
          <w:rFonts w:ascii="SimSun" w:cs="SimSun" w:eastAsia="SimSun" w:hAnsi="SimSun"/>
          <w:b/>
          <w:bCs/>
          <w:sz w:val="22"/>
          <w:szCs w:val="22"/>
        </w:rPr>
        <w:t xml:space="preserve">《国家温室气体排放因子数据库（第二版）》（2026年3月）</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因子总数从285个扩充至576个，新增粗钢、未锻轧铝等重点产品碳排放强度数据。</w:t>
      </w:r>
    </w:p>
    <w:p>
      <w:pPr>
        <w:spacing w:after="80" w:line="360"/>
      </w:pPr>
      <w:r>
        <w:rPr>
          <w:rFonts w:ascii="SimSun" w:cs="SimSun" w:eastAsia="SimSun" w:hAnsi="SimSun"/>
          <w:b/>
          <w:bCs/>
          <w:sz w:val="22"/>
          <w:szCs w:val="22"/>
        </w:rPr>
        <w:t xml:space="preserve">《电力二氧化碳排放因子》（年度发布）</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提供全国、区域和省级电力平均排放因子，是碳核算中最常用的基础数据。</w:t>
      </w:r>
    </w:p>
    <w:p>
      <w:pPr>
        <w:pStyle w:val="Heading2"/>
      </w:pPr>
      <w:r>
        <w:t xml:space="preserve">2.4 碳市场相关政策</w:t>
      </w:r>
    </w:p>
    <w:p>
      <w:pPr>
        <w:spacing w:after="80" w:line="360"/>
      </w:pPr>
      <w:r>
        <w:rPr>
          <w:rFonts w:ascii="SimSun" w:cs="SimSun" w:eastAsia="SimSun" w:hAnsi="SimSun"/>
          <w:b/>
          <w:bCs/>
          <w:sz w:val="22"/>
          <w:szCs w:val="22"/>
        </w:rPr>
        <w:t xml:space="preserve">《碳排放权交易管理暂行条例》（2024年5月1日实施）</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中国碳市场首部行政法规，覆盖配额分配、排放报告、核查、清缴、处罚等全流程管理。</w:t>
      </w:r>
    </w:p>
    <w:p>
      <w:pPr>
        <w:spacing w:after="80" w:line="360"/>
      </w:pPr>
      <w:r>
        <w:rPr>
          <w:rFonts w:ascii="SimSun" w:cs="SimSun" w:eastAsia="SimSun" w:hAnsi="SimSun"/>
          <w:b/>
          <w:bCs/>
          <w:sz w:val="22"/>
          <w:szCs w:val="22"/>
        </w:rPr>
        <w:t xml:space="preserve">《关于做好2026年全国碳排放权交易市场有关工作的通知》（2026年2月）</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关键时间节点：3月31日前进排放报告，6月30日前发电行业核查完成，7月31日前扩围行业核查完成，9月30日前配额分配，12月31日前配额清缴。</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时间节点</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工作事项</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涉及行业</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3月31日前</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报送2025年度排放报告</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四大行业</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6月30日前</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发电行业核查完成</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发电</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7月31日前</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扩围行业核查完成</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钢铁、水泥、铝冶炼</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9月30日前</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分配2025年度配额</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四大行业</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12月31日前</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配额清缴截止</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四大行业</w:t>
            </w:r>
          </w:p>
        </w:tc>
      </w:tr>
    </w:tbl>
    <w:p>
      <w:pPr>
        <w:spacing w:after="0"/>
      </w:pPr>
    </w:p>
    <w:p>
      <w:r>
        <w:br w:type="page"/>
      </w:r>
    </w:p>
    <w:p>
      <w:pPr>
        <w:pStyle w:val="Heading1"/>
      </w:pPr>
      <w:r>
        <w:t xml:space="preserve">三、系统整体设计方案</w:t>
      </w:r>
    </w:p>
    <w:p>
      <w:pPr>
        <w:spacing w:after="100" w:line="360"/>
      </w:pPr>
      <w:r>
        <w:rPr>
          <w:rFonts w:ascii="SimSun" w:cs="SimSun" w:eastAsia="SimSun" w:hAnsi="SimSun"/>
          <w:sz w:val="22"/>
          <w:szCs w:val="22"/>
        </w:rPr>
        <w:t xml:space="preserve">建筑能耗管理系统以国家相关标准为设计依据，整体以在大型公共建筑能耗监测项目中得到广泛应用的建筑能耗监测数据平台软件为基础，结合在大量商业应用中被广泛使用的成熟产品与技术构建而成。</w:t>
      </w:r>
    </w:p>
    <w:p>
      <w:pPr>
        <w:pStyle w:val="Heading2"/>
      </w:pPr>
      <w:r>
        <w:t xml:space="preserve">3.1 系统需求分析</w:t>
      </w:r>
    </w:p>
    <w:p>
      <w:pPr>
        <w:spacing w:after="100" w:line="360"/>
      </w:pPr>
      <w:r>
        <w:rPr>
          <w:rFonts w:ascii="SimSun" w:cs="SimSun" w:eastAsia="SimSun" w:hAnsi="SimSun"/>
          <w:sz w:val="22"/>
          <w:szCs w:val="22"/>
        </w:rPr>
        <w:t xml:space="preserve">本系统建设将满足以下需求：</w:t>
      </w:r>
    </w:p>
    <w:p>
      <w:pPr>
        <w:pStyle w:val="ListParagraph"/>
        <w:numPr>
          <w:ilvl w:val="0"/>
          <w:numId w:val="2"/>
        </w:numPr>
        <w:spacing w:after="40" w:line="340"/>
      </w:pPr>
      <w:r>
        <w:rPr>
          <w:rFonts w:ascii="SimSun" w:cs="SimSun" w:eastAsia="SimSun" w:hAnsi="SimSun"/>
          <w:sz w:val="22"/>
          <w:szCs w:val="22"/>
        </w:rPr>
        <w:t xml:space="preserve">数据采集子系统：可接纳符合《智能建筑设计标准》规定的通信协议的数据；</w:t>
      </w:r>
    </w:p>
    <w:p>
      <w:pPr>
        <w:pStyle w:val="ListParagraph"/>
        <w:numPr>
          <w:ilvl w:val="0"/>
          <w:numId w:val="2"/>
        </w:numPr>
        <w:spacing w:after="40" w:line="340"/>
      </w:pPr>
      <w:r>
        <w:rPr>
          <w:rFonts w:ascii="SimSun" w:cs="SimSun" w:eastAsia="SimSun" w:hAnsi="SimSun"/>
          <w:sz w:val="22"/>
          <w:szCs w:val="22"/>
        </w:rPr>
        <w:t xml:space="preserve">能耗查询、统计、分析、评价子系统：包含能耗分析计算引擎、查询模块、报告生成模块等；</w:t>
      </w:r>
    </w:p>
    <w:p>
      <w:pPr>
        <w:pStyle w:val="ListParagraph"/>
        <w:numPr>
          <w:ilvl w:val="0"/>
          <w:numId w:val="2"/>
        </w:numPr>
        <w:spacing w:after="40" w:line="340"/>
      </w:pPr>
      <w:r>
        <w:rPr>
          <w:rFonts w:ascii="SimSun" w:cs="SimSun" w:eastAsia="SimSun" w:hAnsi="SimSun"/>
          <w:sz w:val="22"/>
          <w:szCs w:val="22"/>
        </w:rPr>
        <w:t xml:space="preserve">能碳核算子系统：内置国家排放因子数据库，支持企业/园区/产品三级碳排放核算；</w:t>
      </w:r>
    </w:p>
    <w:p>
      <w:pPr>
        <w:pStyle w:val="ListParagraph"/>
        <w:numPr>
          <w:ilvl w:val="0"/>
          <w:numId w:val="2"/>
        </w:numPr>
        <w:spacing w:after="40" w:line="340"/>
      </w:pPr>
      <w:r>
        <w:rPr>
          <w:rFonts w:ascii="SimSun" w:cs="SimSun" w:eastAsia="SimSun" w:hAnsi="SimSun"/>
          <w:sz w:val="22"/>
          <w:szCs w:val="22"/>
        </w:rPr>
        <w:t xml:space="preserve">碳交易管理子系统：支持碳配额管理、交易决策支持、CCER碳资产开发管理；</w:t>
      </w:r>
    </w:p>
    <w:p>
      <w:pPr>
        <w:pStyle w:val="ListParagraph"/>
        <w:numPr>
          <w:ilvl w:val="0"/>
          <w:numId w:val="2"/>
        </w:numPr>
        <w:spacing w:after="40" w:line="340"/>
      </w:pPr>
      <w:r>
        <w:rPr>
          <w:rFonts w:ascii="SimSun" w:cs="SimSun" w:eastAsia="SimSun" w:hAnsi="SimSun"/>
          <w:sz w:val="22"/>
          <w:szCs w:val="22"/>
        </w:rPr>
        <w:t xml:space="preserve">设备故障和用能异常报警子系统；</w:t>
      </w:r>
    </w:p>
    <w:p>
      <w:pPr>
        <w:pStyle w:val="ListParagraph"/>
        <w:numPr>
          <w:ilvl w:val="0"/>
          <w:numId w:val="2"/>
        </w:numPr>
        <w:spacing w:after="40" w:line="340"/>
      </w:pPr>
      <w:r>
        <w:rPr>
          <w:rFonts w:ascii="SimSun" w:cs="SimSun" w:eastAsia="SimSun" w:hAnsi="SimSun"/>
          <w:sz w:val="22"/>
          <w:szCs w:val="22"/>
        </w:rPr>
        <w:t xml:space="preserve">权限子系统：提供灵活的权限控制；</w:t>
      </w:r>
    </w:p>
    <w:p>
      <w:pPr>
        <w:pStyle w:val="ListParagraph"/>
        <w:numPr>
          <w:ilvl w:val="0"/>
          <w:numId w:val="2"/>
        </w:numPr>
        <w:spacing w:after="40" w:line="340"/>
      </w:pPr>
      <w:r>
        <w:rPr>
          <w:rFonts w:ascii="SimSun" w:cs="SimSun" w:eastAsia="SimSun" w:hAnsi="SimSun"/>
          <w:sz w:val="22"/>
          <w:szCs w:val="22"/>
        </w:rPr>
        <w:t xml:space="preserve">运行维护子系统：提供系统运行监视和诊断功能。</w:t>
      </w:r>
    </w:p>
    <w:p>
      <w:pPr>
        <w:pStyle w:val="Heading2"/>
      </w:pPr>
      <w:r>
        <w:t xml:space="preserve">3.2 系统建设原则</w:t>
      </w:r>
    </w:p>
    <w:p>
      <w:pPr>
        <w:spacing w:after="100" w:line="360"/>
      </w:pPr>
      <w:r>
        <w:rPr>
          <w:rFonts w:ascii="SimSun" w:cs="SimSun" w:eastAsia="SimSun" w:hAnsi="SimSun"/>
          <w:sz w:val="22"/>
          <w:szCs w:val="22"/>
        </w:rPr>
        <w:t xml:space="preserve">系统设计遵循整体规划、分步建设，兼顾成熟性与先进性，充分考虑对既有系统的兼容性，确保开放性、安全性、可靠性、通用性、可扩展性。</w:t>
      </w:r>
    </w:p>
    <w:p>
      <w:pPr>
        <w:pStyle w:val="Heading2"/>
      </w:pPr>
      <w:r>
        <w:t xml:space="preserve">3.3 系统整体架构</w:t>
      </w:r>
    </w:p>
    <w:p>
      <w:pPr>
        <w:spacing w:after="100" w:line="360"/>
      </w:pPr>
      <w:r>
        <w:rPr>
          <w:rFonts w:ascii="SimSun" w:cs="SimSun" w:eastAsia="SimSun" w:hAnsi="SimSun"/>
          <w:sz w:val="22"/>
          <w:szCs w:val="22"/>
        </w:rPr>
        <w:t xml:space="preserve">系统整体架构在商业级技术平台上的多层分布式应用：</w:t>
      </w:r>
    </w:p>
    <w:p>
      <w:pPr>
        <w:pStyle w:val="ListParagraph"/>
        <w:numPr>
          <w:ilvl w:val="0"/>
          <w:numId w:val="2"/>
        </w:numPr>
        <w:spacing w:after="40" w:line="340"/>
      </w:pPr>
      <w:r>
        <w:rPr>
          <w:rFonts w:ascii="SimSun" w:cs="SimSun" w:eastAsia="SimSun" w:hAnsi="SimSun"/>
          <w:sz w:val="22"/>
          <w:szCs w:val="22"/>
        </w:rPr>
        <w:t xml:space="preserve">感知层：各类智能仪表（电表、水表、气表、热力表）及环境传感器；</w:t>
      </w:r>
    </w:p>
    <w:p>
      <w:pPr>
        <w:pStyle w:val="ListParagraph"/>
        <w:numPr>
          <w:ilvl w:val="0"/>
          <w:numId w:val="2"/>
        </w:numPr>
        <w:spacing w:after="40" w:line="340"/>
      </w:pPr>
      <w:r>
        <w:rPr>
          <w:rFonts w:ascii="SimSun" w:cs="SimSun" w:eastAsia="SimSun" w:hAnsi="SimSun"/>
          <w:sz w:val="22"/>
          <w:szCs w:val="22"/>
        </w:rPr>
        <w:t xml:space="preserve">采集层：能耗数据采集终端（ARM9/AARCH64处理器，支持Modbus、DL/T 645、CJ/T 188等协议）；</w:t>
      </w:r>
    </w:p>
    <w:p>
      <w:pPr>
        <w:pStyle w:val="ListParagraph"/>
        <w:numPr>
          <w:ilvl w:val="0"/>
          <w:numId w:val="2"/>
        </w:numPr>
        <w:spacing w:after="40" w:line="340"/>
      </w:pPr>
      <w:r>
        <w:rPr>
          <w:rFonts w:ascii="SimSun" w:cs="SimSun" w:eastAsia="SimSun" w:hAnsi="SimSun"/>
          <w:sz w:val="22"/>
          <w:szCs w:val="22"/>
        </w:rPr>
        <w:t xml:space="preserve">传输层：有线RS485、以太网、4G/5G/NBIOT、无线LORA/ZIGBEE等多种通信方式；</w:t>
      </w:r>
    </w:p>
    <w:p>
      <w:pPr>
        <w:pStyle w:val="ListParagraph"/>
        <w:numPr>
          <w:ilvl w:val="0"/>
          <w:numId w:val="2"/>
        </w:numPr>
        <w:spacing w:after="40" w:line="340"/>
      </w:pPr>
      <w:r>
        <w:rPr>
          <w:rFonts w:ascii="SimSun" w:cs="SimSun" w:eastAsia="SimSun" w:hAnsi="SimSun"/>
          <w:sz w:val="22"/>
          <w:szCs w:val="22"/>
        </w:rPr>
        <w:t xml:space="preserve">数据层：数据中台，实现海量能耗数据存储、治理、分析；</w:t>
      </w:r>
    </w:p>
    <w:p>
      <w:pPr>
        <w:pStyle w:val="ListParagraph"/>
        <w:numPr>
          <w:ilvl w:val="0"/>
          <w:numId w:val="2"/>
        </w:numPr>
        <w:spacing w:after="40" w:line="340"/>
      </w:pPr>
      <w:r>
        <w:rPr>
          <w:rFonts w:ascii="SimSun" w:cs="SimSun" w:eastAsia="SimSun" w:hAnsi="SimSun"/>
          <w:sz w:val="22"/>
          <w:szCs w:val="22"/>
        </w:rPr>
        <w:t xml:space="preserve">应用层：能耗监测、能碳核算、碳交易管理、能效公示、报警管理等业务子系统；</w:t>
      </w:r>
    </w:p>
    <w:p>
      <w:pPr>
        <w:pStyle w:val="ListParagraph"/>
        <w:numPr>
          <w:ilvl w:val="0"/>
          <w:numId w:val="2"/>
        </w:numPr>
        <w:spacing w:after="40" w:line="340"/>
      </w:pPr>
      <w:r>
        <w:rPr>
          <w:rFonts w:ascii="SimSun" w:cs="SimSun" w:eastAsia="SimSun" w:hAnsi="SimSun"/>
          <w:sz w:val="22"/>
          <w:szCs w:val="22"/>
        </w:rPr>
        <w:t xml:space="preserve">展示层：可视化大屏、Web端、移动端等多终端统一访问。</w:t>
      </w:r>
    </w:p>
    <w:p>
      <w:pPr>
        <w:pStyle w:val="Heading2"/>
      </w:pPr>
      <w:r>
        <w:t xml:space="preserve">3.4 智能建筑的能耗计量</w:t>
      </w:r>
    </w:p>
    <w:p>
      <w:pPr>
        <w:spacing w:after="100" w:line="360"/>
      </w:pPr>
      <w:r>
        <w:rPr>
          <w:rFonts w:ascii="SimSun" w:cs="SimSun" w:eastAsia="SimSun" w:hAnsi="SimSun"/>
          <w:sz w:val="22"/>
          <w:szCs w:val="22"/>
        </w:rPr>
        <w:t xml:space="preserve">建筑能耗管理系统，是对建筑设备监控系统、公共安全系统和能源供应系统等实施综合管理的系统。系统主要利用DDC控制器对建筑内机电设备运行状态参数实时采集，DDC采集的运行状态参数包括压力、温度、流量等，其中一部分参数同时也是能耗参数，可由此计算出能耗量。能源供应系统包括：供电系统、供水系统、供气系统、供冷系统、供热系统等。</w:t>
      </w:r>
    </w:p>
    <w:p>
      <w:pPr>
        <w:pStyle w:val="Heading3"/>
      </w:pPr>
      <w:r>
        <w:t xml:space="preserve">3.4.1 冷站监控系统的能耗计量</w:t>
      </w:r>
    </w:p>
    <w:p>
      <w:pPr>
        <w:spacing w:after="80" w:line="360"/>
      </w:pPr>
      <w:r>
        <w:rPr>
          <w:rFonts w:ascii="SimSun" w:cs="SimSun" w:eastAsia="SimSun" w:hAnsi="SimSun"/>
          <w:b/>
          <w:bCs/>
          <w:sz w:val="22"/>
          <w:szCs w:val="22"/>
        </w:rPr>
        <w:t xml:space="preserve">冷站系统概述：</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冷站系统由冷水机组、冷冻水循环系统、冷却水循环系统等主要系统组成，是空调系统的冷量来源。冷站系统是由DDC采取现场有关信息及参数，实现冷站内各设备的监测、报警、控制与调节。</w:t>
      </w:r>
    </w:p>
    <w:p>
      <w:pPr>
        <w:spacing w:after="80" w:line="360"/>
      </w:pPr>
      <w:r>
        <w:rPr>
          <w:rFonts w:ascii="SimSun" w:cs="SimSun" w:eastAsia="SimSun" w:hAnsi="SimSun"/>
          <w:b/>
          <w:bCs/>
          <w:sz w:val="22"/>
          <w:szCs w:val="22"/>
        </w:rPr>
        <w:t xml:space="preserve">冷站系统监控策略：</w:t>
      </w:r>
      <w:r>
        <w:rPr>
          <w:rFonts w:ascii="SimSun" w:cs="SimSun" w:eastAsia="SimSun" w:hAnsi="SimSun"/>
          <w:sz w:val="22"/>
          <w:szCs w:val="22"/>
        </w:rPr>
        <w:t xml:space="preserve"/>
      </w:r>
    </w:p>
    <w:p>
      <w:pPr>
        <w:pStyle w:val="ListParagraph"/>
        <w:numPr>
          <w:ilvl w:val="0"/>
          <w:numId w:val="2"/>
        </w:numPr>
        <w:spacing w:after="40" w:line="340"/>
      </w:pPr>
      <w:r>
        <w:rPr>
          <w:rFonts w:ascii="SimSun" w:cs="SimSun" w:eastAsia="SimSun" w:hAnsi="SimSun"/>
          <w:sz w:val="22"/>
          <w:szCs w:val="22"/>
        </w:rPr>
        <w:t xml:space="preserve">机组定时启停控制：根据工作及节假日作息时间表，自动启停冷水机组、冷冻水泵、冷却水泵、电动阀门及冷却塔；</w:t>
      </w:r>
    </w:p>
    <w:p>
      <w:pPr>
        <w:pStyle w:val="ListParagraph"/>
        <w:numPr>
          <w:ilvl w:val="0"/>
          <w:numId w:val="2"/>
        </w:numPr>
        <w:spacing w:after="40" w:line="340"/>
      </w:pPr>
      <w:r>
        <w:rPr>
          <w:rFonts w:ascii="SimSun" w:cs="SimSun" w:eastAsia="SimSun" w:hAnsi="SimSun"/>
          <w:sz w:val="22"/>
          <w:szCs w:val="22"/>
        </w:rPr>
        <w:t xml:space="preserve">机组台数控制：根据建筑所需冷负荷及压差旁通阀开度，自动调整冷水机组运行台数；</w:t>
      </w:r>
    </w:p>
    <w:p>
      <w:pPr>
        <w:pStyle w:val="ListParagraph"/>
        <w:numPr>
          <w:ilvl w:val="0"/>
          <w:numId w:val="2"/>
        </w:numPr>
        <w:spacing w:after="40" w:line="340"/>
      </w:pPr>
      <w:r>
        <w:rPr>
          <w:rFonts w:ascii="SimSun" w:cs="SimSun" w:eastAsia="SimSun" w:hAnsi="SimSun"/>
          <w:sz w:val="22"/>
          <w:szCs w:val="22"/>
        </w:rPr>
        <w:t xml:space="preserve">机组连锁控制：启动顺序为冷却塔风机→冷却水蝶阀→冷却水泵→冷冻水蝶阀→冷冻水泵→冷水机组，停止顺序相反；</w:t>
      </w:r>
    </w:p>
    <w:p>
      <w:pPr>
        <w:pStyle w:val="ListParagraph"/>
        <w:numPr>
          <w:ilvl w:val="0"/>
          <w:numId w:val="2"/>
        </w:numPr>
        <w:spacing w:after="40" w:line="340"/>
      </w:pPr>
      <w:r>
        <w:rPr>
          <w:rFonts w:ascii="SimSun" w:cs="SimSun" w:eastAsia="SimSun" w:hAnsi="SimSun"/>
          <w:sz w:val="22"/>
          <w:szCs w:val="22"/>
        </w:rPr>
        <w:t xml:space="preserve">冷冻水压差控制：根据冷水供回水压差，自动调节旁通调节阀的开度；</w:t>
      </w:r>
    </w:p>
    <w:p>
      <w:pPr>
        <w:pStyle w:val="ListParagraph"/>
        <w:numPr>
          <w:ilvl w:val="0"/>
          <w:numId w:val="2"/>
        </w:numPr>
        <w:spacing w:after="40" w:line="340"/>
      </w:pPr>
      <w:r>
        <w:rPr>
          <w:rFonts w:ascii="SimSun" w:cs="SimSun" w:eastAsia="SimSun" w:hAnsi="SimSun"/>
          <w:sz w:val="22"/>
          <w:szCs w:val="22"/>
        </w:rPr>
        <w:t xml:space="preserve">冷却水温度控制：根据冷却水温度自动控制冷却塔风机的启停台数；</w:t>
      </w:r>
    </w:p>
    <w:p>
      <w:pPr>
        <w:pStyle w:val="ListParagraph"/>
        <w:numPr>
          <w:ilvl w:val="0"/>
          <w:numId w:val="2"/>
        </w:numPr>
        <w:spacing w:after="40" w:line="340"/>
      </w:pPr>
      <w:r>
        <w:rPr>
          <w:rFonts w:ascii="SimSun" w:cs="SimSun" w:eastAsia="SimSun" w:hAnsi="SimSun"/>
          <w:sz w:val="22"/>
          <w:szCs w:val="22"/>
        </w:rPr>
        <w:t xml:space="preserve">机组运行参数监测：监测系统各检测点的温度、压差、流量等参数。</w:t>
      </w:r>
    </w:p>
    <w:p>
      <w:pPr>
        <w:spacing w:after="80" w:line="360"/>
      </w:pPr>
      <w:r>
        <w:rPr>
          <w:rFonts w:ascii="SimSun" w:cs="SimSun" w:eastAsia="SimSun" w:hAnsi="SimSun"/>
          <w:b/>
          <w:bCs/>
          <w:sz w:val="22"/>
          <w:szCs w:val="22"/>
        </w:rPr>
        <w:t xml:space="preserve">能耗计量：</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作为冷量计量所需要的参数有三个：冷冻水总管的供水温度、回水温度和冷冻水总管的回水流量。根据这三个参数，可以计算出冷站系统所提供的冷负荷量，从而可以作为分项能耗量计入系统。</w:t>
      </w:r>
    </w:p>
    <w:p>
      <w:pPr>
        <w:pStyle w:val="Heading3"/>
      </w:pPr>
      <w:r>
        <w:t xml:space="preserve">3.4.2 供配电监测系统的能耗计量</w:t>
      </w:r>
    </w:p>
    <w:p>
      <w:pPr>
        <w:spacing w:after="100" w:line="360"/>
      </w:pPr>
      <w:r>
        <w:rPr>
          <w:rFonts w:ascii="SimSun" w:cs="SimSun" w:eastAsia="SimSun" w:hAnsi="SimSun"/>
          <w:sz w:val="22"/>
          <w:szCs w:val="22"/>
        </w:rPr>
        <w:t xml:space="preserve">电能的计量是建筑能耗分类计量必不可少的内容之一。供配电系统是智能建筑中的动力系统，为空调系统、给排水系统、照明系统、电梯系统等提供正常运转所需的电力能源。</w:t>
      </w:r>
    </w:p>
    <w:p>
      <w:pPr>
        <w:spacing w:after="100" w:line="360"/>
      </w:pPr>
      <w:r>
        <w:rPr>
          <w:rFonts w:ascii="SimSun" w:cs="SimSun" w:eastAsia="SimSun" w:hAnsi="SimSun"/>
          <w:sz w:val="22"/>
          <w:szCs w:val="22"/>
        </w:rPr>
        <w:t xml:space="preserve">供配电监测系统基本功能包括：</w:t>
      </w:r>
    </w:p>
    <w:p>
      <w:pPr>
        <w:pStyle w:val="ListParagraph"/>
        <w:numPr>
          <w:ilvl w:val="0"/>
          <w:numId w:val="2"/>
        </w:numPr>
        <w:spacing w:after="40" w:line="340"/>
      </w:pPr>
      <w:r>
        <w:rPr>
          <w:rFonts w:ascii="SimSun" w:cs="SimSun" w:eastAsia="SimSun" w:hAnsi="SimSun"/>
          <w:sz w:val="22"/>
          <w:szCs w:val="22"/>
        </w:rPr>
        <w:t xml:space="preserve">变电配电设备各高、低压主开关运行状况的监视及故障报警；</w:t>
      </w:r>
    </w:p>
    <w:p>
      <w:pPr>
        <w:pStyle w:val="ListParagraph"/>
        <w:numPr>
          <w:ilvl w:val="0"/>
          <w:numId w:val="2"/>
        </w:numPr>
        <w:spacing w:after="40" w:line="340"/>
      </w:pPr>
      <w:r>
        <w:rPr>
          <w:rFonts w:ascii="SimSun" w:cs="SimSun" w:eastAsia="SimSun" w:hAnsi="SimSun"/>
          <w:sz w:val="22"/>
          <w:szCs w:val="22"/>
        </w:rPr>
        <w:t xml:space="preserve">电源及主供电回路电流值、电压值显示；</w:t>
      </w:r>
    </w:p>
    <w:p>
      <w:pPr>
        <w:pStyle w:val="ListParagraph"/>
        <w:numPr>
          <w:ilvl w:val="0"/>
          <w:numId w:val="2"/>
        </w:numPr>
        <w:spacing w:after="40" w:line="340"/>
      </w:pPr>
      <w:r>
        <w:rPr>
          <w:rFonts w:ascii="SimSun" w:cs="SimSun" w:eastAsia="SimSun" w:hAnsi="SimSun"/>
          <w:sz w:val="22"/>
          <w:szCs w:val="22"/>
        </w:rPr>
        <w:t xml:space="preserve">功率因数测量、电能计量；</w:t>
      </w:r>
    </w:p>
    <w:p>
      <w:pPr>
        <w:pStyle w:val="ListParagraph"/>
        <w:numPr>
          <w:ilvl w:val="0"/>
          <w:numId w:val="2"/>
        </w:numPr>
        <w:spacing w:after="40" w:line="340"/>
      </w:pPr>
      <w:r>
        <w:rPr>
          <w:rFonts w:ascii="SimSun" w:cs="SimSun" w:eastAsia="SimSun" w:hAnsi="SimSun"/>
          <w:sz w:val="22"/>
          <w:szCs w:val="22"/>
        </w:rPr>
        <w:t xml:space="preserve">变压器超温报警；</w:t>
      </w:r>
    </w:p>
    <w:p>
      <w:pPr>
        <w:pStyle w:val="ListParagraph"/>
        <w:numPr>
          <w:ilvl w:val="0"/>
          <w:numId w:val="2"/>
        </w:numPr>
        <w:spacing w:after="40" w:line="340"/>
      </w:pPr>
      <w:r>
        <w:rPr>
          <w:rFonts w:ascii="SimSun" w:cs="SimSun" w:eastAsia="SimSun" w:hAnsi="SimSun"/>
          <w:sz w:val="22"/>
          <w:szCs w:val="22"/>
        </w:rPr>
        <w:t xml:space="preserve">应急（备用）电源供电电流、电压和频率监视。</w:t>
      </w:r>
    </w:p>
    <w:p>
      <w:pPr>
        <w:spacing w:after="100" w:line="360"/>
      </w:pPr>
      <w:r>
        <w:rPr>
          <w:rFonts w:ascii="SimSun" w:cs="SimSun" w:eastAsia="SimSun" w:hAnsi="SimSun"/>
          <w:sz w:val="22"/>
          <w:szCs w:val="22"/>
        </w:rPr>
        <w:t xml:space="preserve">从计量的角度出发，根据检测到的电压、电流、功率因数计算有功功率、无功功率，并累积用电量，为绘制负荷曲线、无功补偿及电费计算提供依据。</w:t>
      </w:r>
    </w:p>
    <w:p>
      <w:pPr>
        <w:pStyle w:val="Heading3"/>
      </w:pPr>
      <w:r>
        <w:t xml:space="preserve">3.4.3 给排水监控系统的能耗计量</w:t>
      </w:r>
    </w:p>
    <w:p>
      <w:pPr>
        <w:spacing w:after="100" w:line="360"/>
      </w:pPr>
      <w:r>
        <w:rPr>
          <w:rFonts w:ascii="SimSun" w:cs="SimSun" w:eastAsia="SimSun" w:hAnsi="SimSun"/>
          <w:sz w:val="22"/>
          <w:szCs w:val="22"/>
        </w:rPr>
        <w:t xml:space="preserve">建筑物给排水监控系统是智能大厦内建筑设备自动化系统（BAS）中的一个子系统，主要功能是通过计算机控制及时地调整系统中水泵的运行台数，以达到供水量和需水量之间的平衡。</w:t>
      </w:r>
    </w:p>
    <w:p>
      <w:pPr>
        <w:spacing w:after="80" w:line="360"/>
      </w:pPr>
      <w:r>
        <w:rPr>
          <w:rFonts w:ascii="SimSun" w:cs="SimSun" w:eastAsia="SimSun" w:hAnsi="SimSun"/>
          <w:b/>
          <w:bCs/>
          <w:sz w:val="22"/>
          <w:szCs w:val="22"/>
        </w:rPr>
        <w:t xml:space="preserve">给水系统监控：</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高层建筑给水系统通常可分为高位水箱给水系统、气压罐给水系统和无水箱恒压直接给水系统三种。每个供水区的高位水箱都设有水位传感器，监测水箱水位。当高区水箱水位下降到启泵水位时，DDC控制启动生活泵供水；当水位上升到停泵水位时，DDC控制停止供水。</w:t>
      </w:r>
    </w:p>
    <w:p>
      <w:pPr>
        <w:spacing w:after="80" w:line="360"/>
      </w:pPr>
      <w:r>
        <w:rPr>
          <w:rFonts w:ascii="SimSun" w:cs="SimSun" w:eastAsia="SimSun" w:hAnsi="SimSun"/>
          <w:b/>
          <w:bCs/>
          <w:sz w:val="22"/>
          <w:szCs w:val="22"/>
        </w:rPr>
        <w:t xml:space="preserve">排水系统监控：</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建筑物排水监控系统在污水池中设置液位传感器，分别检测排污泵启泵水位和停泵水位。当污水池水位达到启泵水位时，DDC启动排污泵；当水位降至极限时停泵。</w:t>
      </w:r>
    </w:p>
    <w:p>
      <w:pPr>
        <w:spacing w:after="80" w:line="360"/>
      </w:pPr>
      <w:r>
        <w:rPr>
          <w:rFonts w:ascii="SimSun" w:cs="SimSun" w:eastAsia="SimSun" w:hAnsi="SimSun"/>
          <w:b/>
          <w:bCs/>
          <w:sz w:val="22"/>
          <w:szCs w:val="22"/>
        </w:rPr>
        <w:t xml:space="preserve">水能耗计量：</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在实际使用的给水监控系统中，增加了对给水流量的测量，DDC根据检测到的给水流量和采集间隔时间，可计算出给水量，并可以累积用水量。</w:t>
      </w:r>
    </w:p>
    <w:p>
      <w:r>
        <w:br w:type="page"/>
      </w:r>
    </w:p>
    <w:p>
      <w:pPr>
        <w:pStyle w:val="Heading1"/>
      </w:pPr>
      <w:r>
        <w:t xml:space="preserve">四、能耗监测系统</w:t>
      </w:r>
    </w:p>
    <w:p>
      <w:pPr>
        <w:pStyle w:val="Heading2"/>
      </w:pPr>
      <w:r>
        <w:t xml:space="preserve">4.1 监测范围与指标</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监测类别</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监测指标</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采集频率</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电力消耗</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有功功率、无功功率、功率因数、电压、电流</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15分钟/次</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水消耗</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瞬时流量、累计流量、压力</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30分钟/次</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天然气/燃气</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瞬时流量、累计流量、热值、压力</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5分钟/次</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蒸汽/热力</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流量、温度、压力、热量</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10分钟/次</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可再生能源</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光伏发电量、储能充放电量</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5分钟/次</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环境参数</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温度、湿度、光照、CO₂浓度</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10分钟/次</w:t>
            </w:r>
          </w:p>
        </w:tc>
      </w:tr>
    </w:tbl>
    <w:p>
      <w:pPr>
        <w:spacing w:after="0"/>
      </w:pPr>
    </w:p>
    <w:p>
      <w:pPr>
        <w:pStyle w:val="Heading2"/>
      </w:pPr>
      <w:r>
        <w:t xml:space="preserve">4.2 建筑用能监测</w:t>
      </w:r>
    </w:p>
    <w:p>
      <w:pPr>
        <w:spacing w:after="100" w:line="360"/>
      </w:pPr>
      <w:r>
        <w:rPr>
          <w:rFonts w:ascii="SimSun" w:cs="SimSun" w:eastAsia="SimSun" w:hAnsi="SimSun"/>
          <w:sz w:val="22"/>
          <w:szCs w:val="22"/>
        </w:rPr>
        <w:t xml:space="preserve">能耗监控总貌采用直观的图形化界面（柱状图、饼图、仪表盘等呈现方式）来监控能耗数据，支持逐时、逐日、逐月、逐季、逐年监控画面之间的自由切换。</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用能监控内容</w:t>
            </w:r>
          </w:p>
        </w:tc>
        <w:tc>
          <w:tcPr>
            <w:tcW w:type="dxa" w:w="4513"/>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呈现方式</w:t>
            </w:r>
          </w:p>
        </w:tc>
      </w:tr>
      <w:tr>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建筑用能总量监控</w:t>
            </w:r>
          </w:p>
        </w:tc>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柱状图、饼图</w:t>
            </w:r>
          </w:p>
        </w:tc>
      </w:tr>
      <w:tr>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耗能单位用能总量监控</w:t>
            </w:r>
          </w:p>
        </w:tc>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柱状图、饼图</w:t>
            </w:r>
          </w:p>
        </w:tc>
      </w:tr>
      <w:tr>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办公楼用能监控</w:t>
            </w:r>
          </w:p>
        </w:tc>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柱状图、饼图</w:t>
            </w:r>
          </w:p>
        </w:tc>
      </w:tr>
      <w:tr>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厂房用能监控</w:t>
            </w:r>
          </w:p>
        </w:tc>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柱状图、饼图</w:t>
            </w:r>
          </w:p>
        </w:tc>
      </w:tr>
      <w:tr>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建筑用能单位详细用能监控</w:t>
            </w:r>
          </w:p>
        </w:tc>
        <w:tc>
          <w:tcPr>
            <w:tcW w:type="dxa" w:w="4513"/>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饼图、仪表盘</w:t>
            </w:r>
          </w:p>
        </w:tc>
      </w:tr>
      <w:tr>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能流图监控</w:t>
            </w:r>
          </w:p>
        </w:tc>
        <w:tc>
          <w:tcPr>
            <w:tcW w:type="dxa" w:w="4513"/>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能流图</w:t>
            </w:r>
          </w:p>
        </w:tc>
      </w:tr>
    </w:tbl>
    <w:p>
      <w:pPr>
        <w:spacing w:after="0"/>
      </w:pPr>
    </w:p>
    <w:p>
      <w:pPr>
        <w:pStyle w:val="Heading2"/>
      </w:pPr>
      <w:r>
        <w:t xml:space="preserve">4.3 建筑能耗查询</w:t>
      </w:r>
    </w:p>
    <w:p>
      <w:pPr>
        <w:spacing w:after="100" w:line="360"/>
      </w:pPr>
      <w:r>
        <w:rPr>
          <w:rFonts w:ascii="SimSun" w:cs="SimSun" w:eastAsia="SimSun" w:hAnsi="SimSun"/>
          <w:sz w:val="22"/>
          <w:szCs w:val="22"/>
        </w:rPr>
        <w:t xml:space="preserve">支持按照区域（建筑）、分项（照明、空调、动力、特殊）、分类（办公、生产、公共）、分户（不同耗能单位）来查询建筑单位的用能情况。同时支持能耗数据的属性查询、实时值查询、历史值查询。查询结果可以导出为EXCEL、PDF等格式。</w:t>
      </w:r>
    </w:p>
    <w:p>
      <w:pPr>
        <w:pStyle w:val="Heading2"/>
      </w:pPr>
      <w:r>
        <w:t xml:space="preserve">4.4 能耗对比分析</w:t>
      </w:r>
    </w:p>
    <w:p>
      <w:pPr>
        <w:spacing w:after="100" w:line="360"/>
      </w:pPr>
      <w:r>
        <w:rPr>
          <w:rFonts w:ascii="SimSun" w:cs="SimSun" w:eastAsia="SimSun" w:hAnsi="SimSun"/>
          <w:sz w:val="22"/>
          <w:szCs w:val="22"/>
        </w:rPr>
        <w:t xml:space="preserve">系统提供丰富的对比分析功能：分类分项小时、日、月能耗对比；分类分项能耗月同比；能耗月环比；不同耗能单位、表计之间的指定时间内对比。</w:t>
      </w:r>
    </w:p>
    <w:p>
      <w:pPr>
        <w:pStyle w:val="Heading2"/>
      </w:pPr>
      <w:r>
        <w:t xml:space="preserve">4.5 建筑环境监测</w:t>
      </w:r>
    </w:p>
    <w:p>
      <w:pPr>
        <w:spacing w:after="100" w:line="360"/>
      </w:pPr>
      <w:r>
        <w:rPr>
          <w:rFonts w:ascii="SimSun" w:cs="SimSun" w:eastAsia="SimSun" w:hAnsi="SimSun"/>
          <w:sz w:val="22"/>
          <w:szCs w:val="22"/>
        </w:rPr>
        <w:t xml:space="preserve">通过数据采集终端，实时采集建筑内的温度、湿度、风速等环境传感器，分析建筑内环境舒适度以及建筑内环境和用能之间的关系。</w:t>
      </w:r>
    </w:p>
    <w:p>
      <w:pPr>
        <w:pStyle w:val="Heading2"/>
      </w:pPr>
      <w:r>
        <w:t xml:space="preserve">4.6 能耗公示与评价</w:t>
      </w:r>
    </w:p>
    <w:p>
      <w:pPr>
        <w:spacing w:after="100" w:line="360"/>
      </w:pPr>
      <w:r>
        <w:rPr>
          <w:rFonts w:ascii="SimSun" w:cs="SimSun" w:eastAsia="SimSun" w:hAnsi="SimSun"/>
          <w:sz w:val="22"/>
          <w:szCs w:val="22"/>
        </w:rPr>
        <w:t xml:space="preserve">系统通过Web方式向公众公示各类建筑的能耗情况、能效等级、用能结构等，并提供同类建筑的各项能效排名公示。两种典型用户：访问用户（了解能耗信息）和业主用户（重点关心本组织能耗监控）。</w:t>
      </w:r>
    </w:p>
    <w:p>
      <w:pPr>
        <w:pStyle w:val="Heading2"/>
      </w:pPr>
      <w:r>
        <w:t xml:space="preserve">4.7 系统报警</w:t>
      </w:r>
    </w:p>
    <w:p>
      <w:pPr>
        <w:spacing w:after="100" w:line="360"/>
      </w:pPr>
      <w:r>
        <w:rPr>
          <w:rFonts w:ascii="SimSun" w:cs="SimSun" w:eastAsia="SimSun" w:hAnsi="SimSun"/>
          <w:sz w:val="22"/>
          <w:szCs w:val="22"/>
        </w:rPr>
        <w:t xml:space="preserve">系统提供能耗数据采集器异常报警和能耗监测报警、E-mail报警、短信报警、能耗报警报告自动生成、能耗报警记录查询等功能。</w:t>
      </w:r>
    </w:p>
    <w:p>
      <w:pPr>
        <w:pStyle w:val="Heading2"/>
      </w:pPr>
      <w:r>
        <w:t xml:space="preserve">4.8 系统管理与维护</w:t>
      </w:r>
    </w:p>
    <w:p>
      <w:pPr>
        <w:spacing w:after="100" w:line="360"/>
      </w:pPr>
      <w:r>
        <w:rPr>
          <w:rFonts w:ascii="SimSun" w:cs="SimSun" w:eastAsia="SimSun" w:hAnsi="SimSun"/>
          <w:sz w:val="22"/>
          <w:szCs w:val="22"/>
        </w:rPr>
        <w:t xml:space="preserve">系统提供能耗模型管理（含区域组态、组织机构组态、计量单元组态、表计组态）、多级权限访问控制、系统日志等功能。</w:t>
      </w:r>
    </w:p>
    <w:p>
      <w:r>
        <w:br w:type="page"/>
      </w:r>
    </w:p>
    <w:p>
      <w:pPr>
        <w:pStyle w:val="Heading1"/>
      </w:pPr>
      <w:r>
        <w:t xml:space="preserve">五、能碳核算体系</w:t>
      </w:r>
    </w:p>
    <w:p>
      <w:pPr>
        <w:pStyle w:val="Heading2"/>
      </w:pPr>
      <w:r>
        <w:t xml:space="preserve">5.1 核算方法体系</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核算层级</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核算方法</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适用场景</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企业级</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排放因子法（活动数据×排放因子）</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企业碳排放核算/报告</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企业级</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物料平衡法</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过程排放占比高的行业</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园区级</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省级温室气体清单编制指南（2025版）</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区域/园区碳核算</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产品级</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生命周期评价（LCA）方法</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产品碳足迹核算</w:t>
            </w:r>
          </w:p>
        </w:tc>
      </w:tr>
    </w:tbl>
    <w:p>
      <w:pPr>
        <w:spacing w:after="0"/>
      </w:pPr>
    </w:p>
    <w:p>
      <w:pPr>
        <w:pStyle w:val="Heading2"/>
      </w:pPr>
      <w:r>
        <w:t xml:space="preserve">5.2 碳排放核算引擎</w:t>
      </w:r>
    </w:p>
    <w:p>
      <w:pPr>
        <w:spacing w:after="100" w:line="360"/>
      </w:pPr>
      <w:r>
        <w:rPr>
          <w:rFonts w:ascii="SimSun" w:cs="SimSun" w:eastAsia="SimSun" w:hAnsi="SimSun"/>
          <w:sz w:val="22"/>
          <w:szCs w:val="22"/>
        </w:rPr>
        <w:t xml:space="preserve">核算引擎按照"采集活动数据→选择排放因子→计算碳排放量→生成核算报告"的标准流程运作。支持三大范围碳排放核算：</w:t>
      </w:r>
    </w:p>
    <w:p>
      <w:pPr>
        <w:pStyle w:val="ListParagraph"/>
        <w:numPr>
          <w:ilvl w:val="0"/>
          <w:numId w:val="2"/>
        </w:numPr>
        <w:spacing w:after="40" w:line="340"/>
      </w:pPr>
      <w:r>
        <w:rPr>
          <w:rFonts w:ascii="SimSun" w:cs="SimSun" w:eastAsia="SimSun" w:hAnsi="SimSun"/>
          <w:sz w:val="22"/>
          <w:szCs w:val="22"/>
        </w:rPr>
        <w:t xml:space="preserve">范围一（直接排放）：化石燃料燃烧、工业生产过程、逸散排放等；</w:t>
      </w:r>
    </w:p>
    <w:p>
      <w:pPr>
        <w:pStyle w:val="ListParagraph"/>
        <w:numPr>
          <w:ilvl w:val="0"/>
          <w:numId w:val="2"/>
        </w:numPr>
        <w:spacing w:after="40" w:line="340"/>
      </w:pPr>
      <w:r>
        <w:rPr>
          <w:rFonts w:ascii="SimSun" w:cs="SimSun" w:eastAsia="SimSun" w:hAnsi="SimSun"/>
          <w:sz w:val="22"/>
          <w:szCs w:val="22"/>
        </w:rPr>
        <w:t xml:space="preserve">范围二（间接排放）：外购电力、热力产生的碳排放；</w:t>
      </w:r>
    </w:p>
    <w:p>
      <w:pPr>
        <w:pStyle w:val="ListParagraph"/>
        <w:numPr>
          <w:ilvl w:val="0"/>
          <w:numId w:val="2"/>
        </w:numPr>
        <w:spacing w:after="40" w:line="340"/>
      </w:pPr>
      <w:r>
        <w:rPr>
          <w:rFonts w:ascii="SimSun" w:cs="SimSun" w:eastAsia="SimSun" w:hAnsi="SimSun"/>
          <w:sz w:val="22"/>
          <w:szCs w:val="22"/>
        </w:rPr>
        <w:t xml:space="preserve">范围三（其他间接排放）：供应链上下游排放、产品使用阶段排放等。</w:t>
      </w:r>
    </w:p>
    <w:p>
      <w:pPr>
        <w:pStyle w:val="Heading2"/>
      </w:pPr>
      <w:r>
        <w:t xml:space="preserve">5.3 产品碳足迹核算</w:t>
      </w:r>
    </w:p>
    <w:p>
      <w:pPr>
        <w:spacing w:after="100" w:line="360"/>
      </w:pPr>
      <w:r>
        <w:rPr>
          <w:rFonts w:ascii="SimSun" w:cs="SimSun" w:eastAsia="SimSun" w:hAnsi="SimSun"/>
          <w:sz w:val="22"/>
          <w:szCs w:val="22"/>
        </w:rPr>
        <w:t xml:space="preserve">依据《关于建立碳足迹管理体系的实施方案》和《产品碳足迹因子数据库建设工作指引》，支持从原材料获取到生产加工、运输、使用、废弃的全生命周期碳足迹核算，帮助企业应对欧盟CBAM等国际贸易碳壁垒。</w:t>
      </w:r>
    </w:p>
    <w:p>
      <w:pPr>
        <w:pStyle w:val="Heading2"/>
      </w:pPr>
      <w:r>
        <w:t xml:space="preserve">5.4 核算报告自动生成</w:t>
      </w:r>
    </w:p>
    <w:p>
      <w:pPr>
        <w:spacing w:after="100" w:line="360"/>
      </w:pPr>
      <w:r>
        <w:rPr>
          <w:rFonts w:ascii="SimSun" w:cs="SimSun" w:eastAsia="SimSun" w:hAnsi="SimSun"/>
          <w:sz w:val="22"/>
          <w:szCs w:val="22"/>
        </w:rPr>
        <w:t xml:space="preserve">系统自动生成合规的碳排放报告，支持企业温室气体排放报告、园区温室气体清单报告、产品碳足迹核算报告、ESG碳排放信息披露报告等格式。</w:t>
      </w:r>
    </w:p>
    <w:p>
      <w:pPr>
        <w:pStyle w:val="Heading2"/>
      </w:pPr>
      <w:r>
        <w:t xml:space="preserve">5.5 数据质量管理</w:t>
      </w:r>
    </w:p>
    <w:p>
      <w:pPr>
        <w:pStyle w:val="ListParagraph"/>
        <w:numPr>
          <w:ilvl w:val="0"/>
          <w:numId w:val="2"/>
        </w:numPr>
        <w:spacing w:after="40" w:line="340"/>
      </w:pPr>
      <w:r>
        <w:rPr>
          <w:rFonts w:ascii="SimSun" w:cs="SimSun" w:eastAsia="SimSun" w:hAnsi="SimSun"/>
          <w:sz w:val="22"/>
          <w:szCs w:val="22"/>
        </w:rPr>
        <w:t xml:space="preserve">数据源校准：定期对监测设备进行校准和验证；</w:t>
      </w:r>
    </w:p>
    <w:p>
      <w:pPr>
        <w:pStyle w:val="ListParagraph"/>
        <w:numPr>
          <w:ilvl w:val="0"/>
          <w:numId w:val="2"/>
        </w:numPr>
        <w:spacing w:after="40" w:line="340"/>
      </w:pPr>
      <w:r>
        <w:rPr>
          <w:rFonts w:ascii="SimSun" w:cs="SimSun" w:eastAsia="SimSun" w:hAnsi="SimSun"/>
          <w:sz w:val="22"/>
          <w:szCs w:val="22"/>
        </w:rPr>
        <w:t xml:space="preserve">交叉验证：通过物料平衡和能量平衡对数据进行交叉检查；</w:t>
      </w:r>
    </w:p>
    <w:p>
      <w:pPr>
        <w:pStyle w:val="ListParagraph"/>
        <w:numPr>
          <w:ilvl w:val="0"/>
          <w:numId w:val="2"/>
        </w:numPr>
        <w:spacing w:after="40" w:line="340"/>
      </w:pPr>
      <w:r>
        <w:rPr>
          <w:rFonts w:ascii="SimSun" w:cs="SimSun" w:eastAsia="SimSun" w:hAnsi="SimSun"/>
          <w:sz w:val="22"/>
          <w:szCs w:val="22"/>
        </w:rPr>
        <w:t xml:space="preserve">异常检测：AI算法自动识别数据异常并预警；</w:t>
      </w:r>
    </w:p>
    <w:p>
      <w:pPr>
        <w:pStyle w:val="ListParagraph"/>
        <w:numPr>
          <w:ilvl w:val="0"/>
          <w:numId w:val="2"/>
        </w:numPr>
        <w:spacing w:after="40" w:line="340"/>
      </w:pPr>
      <w:r>
        <w:rPr>
          <w:rFonts w:ascii="SimSun" w:cs="SimSun" w:eastAsia="SimSun" w:hAnsi="SimSun"/>
          <w:sz w:val="22"/>
          <w:szCs w:val="22"/>
        </w:rPr>
        <w:t xml:space="preserve">审计追踪：完整记录数据变更历史，满足第三方核查要求。</w:t>
      </w:r>
    </w:p>
    <w:p>
      <w:r>
        <w:br w:type="page"/>
      </w:r>
    </w:p>
    <w:p>
      <w:pPr>
        <w:pStyle w:val="Heading1"/>
      </w:pPr>
      <w:r>
        <w:t xml:space="preserve">六、能碳交易管理</w:t>
      </w:r>
    </w:p>
    <w:p>
      <w:pPr>
        <w:pStyle w:val="Heading2"/>
      </w:pPr>
      <w:r>
        <w:t xml:space="preserve">6.1 碳配额管理</w:t>
      </w:r>
    </w:p>
    <w:p>
      <w:pPr>
        <w:spacing w:after="100" w:line="360"/>
      </w:pPr>
      <w:r>
        <w:rPr>
          <w:rFonts w:ascii="SimSun" w:cs="SimSun" w:eastAsia="SimSun" w:hAnsi="SimSun"/>
          <w:sz w:val="22"/>
          <w:szCs w:val="22"/>
        </w:rPr>
        <w:t xml:space="preserve">系统自动获取企业年度碳配额，建立配额台账，追踪配额盈缺情况。基于实时核算数据，动态展示企业碳排放进度与年度配额的对比关系，提前预警。</w:t>
      </w:r>
    </w:p>
    <w:p>
      <w:pPr>
        <w:pStyle w:val="Heading2"/>
      </w:pPr>
      <w:r>
        <w:t xml:space="preserve">6.2 碳交易决策支持</w:t>
      </w:r>
    </w:p>
    <w:p>
      <w:pPr>
        <w:spacing w:after="80" w:line="360"/>
      </w:pPr>
      <w:r>
        <w:rPr>
          <w:rFonts w:ascii="SimSun" w:cs="SimSun" w:eastAsia="SimSun" w:hAnsi="SimSun"/>
          <w:b/>
          <w:bCs/>
          <w:sz w:val="22"/>
          <w:szCs w:val="22"/>
        </w:rPr>
        <w:t xml:space="preserve">碳价预测分析：</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整合全国碳市场历史交易数据，利用机器学习和时间序列分析模型对未来碳价走势进行预测。</w:t>
      </w:r>
    </w:p>
    <w:p>
      <w:pPr>
        <w:spacing w:after="80" w:line="360"/>
      </w:pPr>
      <w:r>
        <w:rPr>
          <w:rFonts w:ascii="SimSun" w:cs="SimSun" w:eastAsia="SimSun" w:hAnsi="SimSun"/>
          <w:b/>
          <w:bCs/>
          <w:sz w:val="22"/>
          <w:szCs w:val="22"/>
        </w:rPr>
        <w:t xml:space="preserve">交易策略优化：</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根据企业配额盈缺、碳价预测和市场流动性，生成最优交易策略建议。</w:t>
      </w:r>
    </w:p>
    <w:p>
      <w:pPr>
        <w:spacing w:after="80" w:line="360"/>
      </w:pPr>
      <w:r>
        <w:rPr>
          <w:rFonts w:ascii="SimSun" w:cs="SimSun" w:eastAsia="SimSun" w:hAnsi="SimSun"/>
          <w:b/>
          <w:bCs/>
          <w:sz w:val="22"/>
          <w:szCs w:val="22"/>
        </w:rPr>
        <w:t xml:space="preserve">CCER碳资产开发管理：</w:t>
      </w:r>
      <w:r>
        <w:rPr>
          <w:rFonts w:ascii="SimSun" w:cs="SimSun" w:eastAsia="SimSun" w:hAnsi="SimSun"/>
          <w:sz w:val="22"/>
          <w:szCs w:val="22"/>
        </w:rPr>
        <w:t xml:space="preserve"/>
      </w:r>
    </w:p>
    <w:p>
      <w:pPr>
        <w:spacing w:after="100" w:line="360"/>
      </w:pPr>
      <w:r>
        <w:rPr>
          <w:rFonts w:ascii="SimSun" w:cs="SimSun" w:eastAsia="SimSun" w:hAnsi="SimSun"/>
          <w:sz w:val="22"/>
          <w:szCs w:val="22"/>
        </w:rPr>
        <w:t xml:space="preserve">支持CCER项目的全生命周期管理，包括方法学选择、PDD编制、减排量计算、审定与核证、登记与交易。</w:t>
      </w:r>
    </w:p>
    <w:p>
      <w:pPr>
        <w:pStyle w:val="Heading2"/>
      </w:pPr>
      <w:r>
        <w:t xml:space="preserve">6.3 碳交易操作与结算</w:t>
      </w:r>
    </w:p>
    <w:p>
      <w:pPr>
        <w:pStyle w:val="ListParagraph"/>
        <w:numPr>
          <w:ilvl w:val="0"/>
          <w:numId w:val="2"/>
        </w:numPr>
        <w:spacing w:after="40" w:line="340"/>
      </w:pPr>
      <w:r>
        <w:rPr>
          <w:rFonts w:ascii="SimSun" w:cs="SimSun" w:eastAsia="SimSun" w:hAnsi="SimSun"/>
          <w:sz w:val="22"/>
          <w:szCs w:val="22"/>
        </w:rPr>
        <w:t xml:space="preserve">与全国碳排放权注册登记系统、交易系统对接；</w:t>
      </w:r>
    </w:p>
    <w:p>
      <w:pPr>
        <w:pStyle w:val="ListParagraph"/>
        <w:numPr>
          <w:ilvl w:val="0"/>
          <w:numId w:val="2"/>
        </w:numPr>
        <w:spacing w:after="40" w:line="340"/>
      </w:pPr>
      <w:r>
        <w:rPr>
          <w:rFonts w:ascii="SimSun" w:cs="SimSun" w:eastAsia="SimSun" w:hAnsi="SimSun"/>
          <w:sz w:val="22"/>
          <w:szCs w:val="22"/>
        </w:rPr>
        <w:t xml:space="preserve">自动记录交易明细，生成交易台账和结算报表；</w:t>
      </w:r>
    </w:p>
    <w:p>
      <w:pPr>
        <w:pStyle w:val="ListParagraph"/>
        <w:numPr>
          <w:ilvl w:val="0"/>
          <w:numId w:val="2"/>
        </w:numPr>
        <w:spacing w:after="40" w:line="340"/>
      </w:pPr>
      <w:r>
        <w:rPr>
          <w:rFonts w:ascii="SimSun" w:cs="SimSun" w:eastAsia="SimSun" w:hAnsi="SimSun"/>
          <w:sz w:val="22"/>
          <w:szCs w:val="22"/>
        </w:rPr>
        <w:t xml:space="preserve">支持模拟交易功能。</w:t>
      </w:r>
    </w:p>
    <w:p>
      <w:pPr>
        <w:pStyle w:val="Heading2"/>
      </w:pPr>
      <w:r>
        <w:t xml:space="preserve">6.4 风险管理与合规</w:t>
      </w:r>
    </w:p>
    <w:p>
      <w:pPr>
        <w:pStyle w:val="ListParagraph"/>
        <w:numPr>
          <w:ilvl w:val="0"/>
          <w:numId w:val="2"/>
        </w:numPr>
        <w:spacing w:after="40" w:line="340"/>
      </w:pPr>
      <w:r>
        <w:rPr>
          <w:rFonts w:ascii="SimSun" w:cs="SimSun" w:eastAsia="SimSun" w:hAnsi="SimSun"/>
          <w:sz w:val="22"/>
          <w:szCs w:val="22"/>
        </w:rPr>
        <w:t xml:space="preserve">合规风险预警：在关键时间节点自动推送提醒；</w:t>
      </w:r>
    </w:p>
    <w:p>
      <w:pPr>
        <w:pStyle w:val="ListParagraph"/>
        <w:numPr>
          <w:ilvl w:val="0"/>
          <w:numId w:val="2"/>
        </w:numPr>
        <w:spacing w:after="40" w:line="340"/>
      </w:pPr>
      <w:r>
        <w:rPr>
          <w:rFonts w:ascii="SimSun" w:cs="SimSun" w:eastAsia="SimSun" w:hAnsi="SimSun"/>
          <w:sz w:val="22"/>
          <w:szCs w:val="22"/>
        </w:rPr>
        <w:t xml:space="preserve">数据真实性保障：所有上报数据生成哈希存证；</w:t>
      </w:r>
    </w:p>
    <w:p>
      <w:pPr>
        <w:pStyle w:val="ListParagraph"/>
        <w:numPr>
          <w:ilvl w:val="0"/>
          <w:numId w:val="2"/>
        </w:numPr>
        <w:spacing w:after="40" w:line="340"/>
      </w:pPr>
      <w:r>
        <w:rPr>
          <w:rFonts w:ascii="SimSun" w:cs="SimSun" w:eastAsia="SimSun" w:hAnsi="SimSun"/>
          <w:sz w:val="22"/>
          <w:szCs w:val="22"/>
        </w:rPr>
        <w:t xml:space="preserve">政策更新追踪：自动追踪国家碳市场政策变化。</w:t>
      </w:r>
    </w:p>
    <w:p>
      <w:r>
        <w:br w:type="page"/>
      </w:r>
    </w:p>
    <w:p>
      <w:pPr>
        <w:pStyle w:val="Heading1"/>
      </w:pPr>
      <w:r>
        <w:t xml:space="preserve">七、硬件体系介绍</w:t>
      </w:r>
    </w:p>
    <w:p>
      <w:pPr>
        <w:pStyle w:val="Heading2"/>
      </w:pPr>
      <w:r>
        <w:t xml:space="preserve">7.1 电能表</w:t>
      </w:r>
    </w:p>
    <w:p>
      <w:pPr>
        <w:pStyle w:val="Heading3"/>
      </w:pPr>
      <w:r>
        <w:t xml:space="preserve">7.1.1 三相电子式多功能电能表</w:t>
      </w:r>
    </w:p>
    <w:p>
      <w:pPr>
        <w:pStyle w:val="ListParagraph"/>
        <w:numPr>
          <w:ilvl w:val="0"/>
          <w:numId w:val="2"/>
        </w:numPr>
        <w:spacing w:after="40" w:line="340"/>
      </w:pPr>
      <w:r>
        <w:rPr>
          <w:rFonts w:ascii="SimSun" w:cs="SimSun" w:eastAsia="SimSun" w:hAnsi="SimSun"/>
          <w:sz w:val="22"/>
          <w:szCs w:val="22"/>
        </w:rPr>
        <w:t xml:space="preserve">电压、电流规格：3×220/380V，3×1.5(6)A；</w:t>
      </w:r>
    </w:p>
    <w:p>
      <w:pPr>
        <w:pStyle w:val="ListParagraph"/>
        <w:numPr>
          <w:ilvl w:val="0"/>
          <w:numId w:val="2"/>
        </w:numPr>
        <w:spacing w:after="40" w:line="340"/>
      </w:pPr>
      <w:r>
        <w:rPr>
          <w:rFonts w:ascii="SimSun" w:cs="SimSun" w:eastAsia="SimSun" w:hAnsi="SimSun"/>
          <w:sz w:val="22"/>
          <w:szCs w:val="22"/>
        </w:rPr>
        <w:t xml:space="preserve">精确度等级：有功0.5S级，无功2.0级；</w:t>
      </w:r>
    </w:p>
    <w:p>
      <w:pPr>
        <w:pStyle w:val="ListParagraph"/>
        <w:numPr>
          <w:ilvl w:val="0"/>
          <w:numId w:val="2"/>
        </w:numPr>
        <w:spacing w:after="40" w:line="340"/>
      </w:pPr>
      <w:r>
        <w:rPr>
          <w:rFonts w:ascii="SimSun" w:cs="SimSun" w:eastAsia="SimSun" w:hAnsi="SimSun"/>
          <w:sz w:val="22"/>
          <w:szCs w:val="22"/>
        </w:rPr>
        <w:t xml:space="preserve">具有有功功率、无功功率、功率因数、各相电压/电流、相角、频率以及最大需量等参数测量功能；</w:t>
      </w:r>
    </w:p>
    <w:p>
      <w:pPr>
        <w:pStyle w:val="ListParagraph"/>
        <w:numPr>
          <w:ilvl w:val="0"/>
          <w:numId w:val="2"/>
        </w:numPr>
        <w:spacing w:after="40" w:line="340"/>
      </w:pPr>
      <w:r>
        <w:rPr>
          <w:rFonts w:ascii="SimSun" w:cs="SimSun" w:eastAsia="SimSun" w:hAnsi="SimSun"/>
          <w:sz w:val="22"/>
          <w:szCs w:val="22"/>
        </w:rPr>
        <w:t xml:space="preserve">双路RS485通讯接口，符合DL/T 645-1997/2007、Modbus协议；</w:t>
      </w:r>
    </w:p>
    <w:p>
      <w:pPr>
        <w:pStyle w:val="ListParagraph"/>
        <w:numPr>
          <w:ilvl w:val="0"/>
          <w:numId w:val="2"/>
        </w:numPr>
        <w:spacing w:after="40" w:line="340"/>
      </w:pPr>
      <w:r>
        <w:rPr>
          <w:rFonts w:ascii="SimSun" w:cs="SimSun" w:eastAsia="SimSun" w:hAnsi="SimSun"/>
          <w:sz w:val="22"/>
          <w:szCs w:val="22"/>
        </w:rPr>
        <w:t xml:space="preserve">工作温度：-30℃～+50℃；相对湿度≤85%。</w:t>
      </w:r>
    </w:p>
    <w:p>
      <w:pPr>
        <w:pStyle w:val="Heading3"/>
      </w:pPr>
      <w:r>
        <w:t xml:space="preserve">7.1.2 三相四线电子式电能表</w:t>
      </w:r>
    </w:p>
    <w:p>
      <w:pPr>
        <w:pStyle w:val="ListParagraph"/>
        <w:numPr>
          <w:ilvl w:val="0"/>
          <w:numId w:val="2"/>
        </w:numPr>
        <w:spacing w:after="40" w:line="340"/>
      </w:pPr>
      <w:r>
        <w:rPr>
          <w:rFonts w:ascii="SimSun" w:cs="SimSun" w:eastAsia="SimSun" w:hAnsi="SimSun"/>
          <w:sz w:val="22"/>
          <w:szCs w:val="22"/>
        </w:rPr>
        <w:t xml:space="preserve">电压：3×220/380V，电流规格1.5(6)A～30(100)A可选；</w:t>
      </w:r>
    </w:p>
    <w:p>
      <w:pPr>
        <w:pStyle w:val="ListParagraph"/>
        <w:numPr>
          <w:ilvl w:val="0"/>
          <w:numId w:val="2"/>
        </w:numPr>
        <w:spacing w:after="40" w:line="340"/>
      </w:pPr>
      <w:r>
        <w:rPr>
          <w:rFonts w:ascii="SimSun" w:cs="SimSun" w:eastAsia="SimSun" w:hAnsi="SimSun"/>
          <w:sz w:val="22"/>
          <w:szCs w:val="22"/>
        </w:rPr>
        <w:t xml:space="preserve">有功计量精度1.0级；RS485通信，满足DT/L645和Modbus要求。</w:t>
      </w:r>
    </w:p>
    <w:p>
      <w:pPr>
        <w:pStyle w:val="Heading3"/>
      </w:pPr>
      <w:r>
        <w:t xml:space="preserve">7.1.3 单相电子式电能表</w:t>
      </w:r>
    </w:p>
    <w:p>
      <w:pPr>
        <w:pStyle w:val="ListParagraph"/>
        <w:numPr>
          <w:ilvl w:val="0"/>
          <w:numId w:val="2"/>
        </w:numPr>
        <w:spacing w:after="40" w:line="340"/>
      </w:pPr>
      <w:r>
        <w:rPr>
          <w:rFonts w:ascii="SimSun" w:cs="SimSun" w:eastAsia="SimSun" w:hAnsi="SimSun"/>
          <w:sz w:val="22"/>
          <w:szCs w:val="22"/>
        </w:rPr>
        <w:t xml:space="preserve">电压：220V，电流10(40)A、15(60)A；</w:t>
      </w:r>
    </w:p>
    <w:p>
      <w:pPr>
        <w:pStyle w:val="ListParagraph"/>
        <w:numPr>
          <w:ilvl w:val="0"/>
          <w:numId w:val="2"/>
        </w:numPr>
        <w:spacing w:after="40" w:line="340"/>
      </w:pPr>
      <w:r>
        <w:rPr>
          <w:rFonts w:ascii="SimSun" w:cs="SimSun" w:eastAsia="SimSun" w:hAnsi="SimSun"/>
          <w:sz w:val="22"/>
          <w:szCs w:val="22"/>
        </w:rPr>
        <w:t xml:space="preserve">有功计量精度1级，RS485+红外双接口。</w:t>
      </w:r>
    </w:p>
    <w:p>
      <w:pPr>
        <w:pStyle w:val="Heading2"/>
      </w:pPr>
      <w:r>
        <w:t xml:space="preserve">7.2 能耗数据采集终端</w:t>
      </w:r>
    </w:p>
    <w:p>
      <w:pPr>
        <w:spacing w:after="100" w:line="360"/>
      </w:pPr>
      <w:r>
        <w:rPr>
          <w:rFonts w:ascii="SimSun" w:cs="SimSun" w:eastAsia="SimSun" w:hAnsi="SimSun"/>
          <w:sz w:val="22"/>
          <w:szCs w:val="22"/>
        </w:rPr>
        <w:t xml:space="preserve">数据采集终端采用高速ARM9/AARCH64处理器，具体性能如下：</w:t>
      </w:r>
    </w:p>
    <w:p>
      <w:pPr>
        <w:pStyle w:val="ListParagraph"/>
        <w:numPr>
          <w:ilvl w:val="0"/>
          <w:numId w:val="2"/>
        </w:numPr>
        <w:spacing w:after="40" w:line="340"/>
      </w:pPr>
      <w:r>
        <w:rPr>
          <w:rFonts w:ascii="SimSun" w:cs="SimSun" w:eastAsia="SimSun" w:hAnsi="SimSun"/>
          <w:sz w:val="22"/>
          <w:szCs w:val="22"/>
        </w:rPr>
        <w:t xml:space="preserve">10/100M/1000M自适应以太网接口，2KV电磁隔离；</w:t>
      </w:r>
    </w:p>
    <w:p>
      <w:pPr>
        <w:pStyle w:val="ListParagraph"/>
        <w:numPr>
          <w:ilvl w:val="0"/>
          <w:numId w:val="2"/>
        </w:numPr>
        <w:spacing w:after="40" w:line="340"/>
      </w:pPr>
      <w:r>
        <w:rPr>
          <w:rFonts w:ascii="SimSun" w:cs="SimSun" w:eastAsia="SimSun" w:hAnsi="SimSun"/>
          <w:sz w:val="22"/>
          <w:szCs w:val="22"/>
        </w:rPr>
        <w:t xml:space="preserve">可选择4G网络通讯或双通道传输；</w:t>
      </w:r>
    </w:p>
    <w:p>
      <w:pPr>
        <w:pStyle w:val="ListParagraph"/>
        <w:numPr>
          <w:ilvl w:val="0"/>
          <w:numId w:val="2"/>
        </w:numPr>
        <w:spacing w:after="40" w:line="340"/>
      </w:pPr>
      <w:r>
        <w:rPr>
          <w:rFonts w:ascii="SimSun" w:cs="SimSun" w:eastAsia="SimSun" w:hAnsi="SimSun"/>
          <w:sz w:val="22"/>
          <w:szCs w:val="22"/>
        </w:rPr>
        <w:t xml:space="preserve">4~8个RS-485工作串口，15KV ESD保护，波特率1200~115200bps；</w:t>
      </w:r>
    </w:p>
    <w:p>
      <w:pPr>
        <w:pStyle w:val="ListParagraph"/>
        <w:numPr>
          <w:ilvl w:val="0"/>
          <w:numId w:val="2"/>
        </w:numPr>
        <w:spacing w:after="40" w:line="340"/>
      </w:pPr>
      <w:r>
        <w:rPr>
          <w:rFonts w:ascii="SimSun" w:cs="SimSun" w:eastAsia="SimSun" w:hAnsi="SimSun"/>
          <w:sz w:val="22"/>
          <w:szCs w:val="22"/>
        </w:rPr>
        <w:t xml:space="preserve">内置2GB存储介质，支持断点续传，至少存储3个月以上用能数据备份；</w:t>
      </w:r>
    </w:p>
    <w:p>
      <w:pPr>
        <w:pStyle w:val="ListParagraph"/>
        <w:numPr>
          <w:ilvl w:val="0"/>
          <w:numId w:val="2"/>
        </w:numPr>
        <w:spacing w:after="40" w:line="340"/>
      </w:pPr>
      <w:r>
        <w:rPr>
          <w:rFonts w:ascii="SimSun" w:cs="SimSun" w:eastAsia="SimSun" w:hAnsi="SimSun"/>
          <w:sz w:val="22"/>
          <w:szCs w:val="22"/>
        </w:rPr>
        <w:t xml:space="preserve">内置硬件看门狗，工作温度-20～70℃；</w:t>
      </w:r>
    </w:p>
    <w:p>
      <w:pPr>
        <w:pStyle w:val="ListParagraph"/>
        <w:numPr>
          <w:ilvl w:val="0"/>
          <w:numId w:val="2"/>
        </w:numPr>
        <w:spacing w:after="40" w:line="340"/>
      </w:pPr>
      <w:r>
        <w:rPr>
          <w:rFonts w:ascii="SimSun" w:cs="SimSun" w:eastAsia="SimSun" w:hAnsi="SimSun"/>
          <w:sz w:val="22"/>
          <w:szCs w:val="22"/>
        </w:rPr>
        <w:t xml:space="preserve">支持Modbus-RTU、DL/T 645、CJ/T 188等多种仪表通信协议；</w:t>
      </w:r>
    </w:p>
    <w:p>
      <w:pPr>
        <w:pStyle w:val="ListParagraph"/>
        <w:numPr>
          <w:ilvl w:val="0"/>
          <w:numId w:val="2"/>
        </w:numPr>
        <w:spacing w:after="40" w:line="340"/>
      </w:pPr>
      <w:r>
        <w:rPr>
          <w:rFonts w:ascii="SimSun" w:cs="SimSun" w:eastAsia="SimSun" w:hAnsi="SimSun"/>
          <w:sz w:val="22"/>
          <w:szCs w:val="22"/>
        </w:rPr>
        <w:t xml:space="preserve">至少支持128台600个采集点的数据采集；</w:t>
      </w:r>
    </w:p>
    <w:p>
      <w:pPr>
        <w:pStyle w:val="ListParagraph"/>
        <w:numPr>
          <w:ilvl w:val="0"/>
          <w:numId w:val="2"/>
        </w:numPr>
        <w:spacing w:after="40" w:line="340"/>
      </w:pPr>
      <w:r>
        <w:rPr>
          <w:rFonts w:ascii="SimSun" w:cs="SimSun" w:eastAsia="SimSun" w:hAnsi="SimSun"/>
          <w:sz w:val="22"/>
          <w:szCs w:val="22"/>
        </w:rPr>
        <w:t xml:space="preserve">支持同时与4个服务器连接通信。</w:t>
      </w:r>
    </w:p>
    <w:p>
      <w:pPr>
        <w:pStyle w:val="Heading2"/>
      </w:pPr>
      <w:r>
        <w:t xml:space="preserve">7.3 冷（热）量计</w:t>
      </w:r>
    </w:p>
    <w:p>
      <w:pPr>
        <w:pStyle w:val="ListParagraph"/>
        <w:numPr>
          <w:ilvl w:val="0"/>
          <w:numId w:val="2"/>
        </w:numPr>
        <w:spacing w:after="40" w:line="340"/>
      </w:pPr>
      <w:r>
        <w:rPr>
          <w:rFonts w:ascii="SimSun" w:cs="SimSun" w:eastAsia="SimSun" w:hAnsi="SimSun"/>
          <w:sz w:val="22"/>
          <w:szCs w:val="22"/>
        </w:rPr>
        <w:t xml:space="preserve">计量准确度等级达到2级；RS-485接口，采用M-BUS协议或CJ/T 188规定；</w:t>
      </w:r>
    </w:p>
    <w:p>
      <w:pPr>
        <w:pStyle w:val="ListParagraph"/>
        <w:numPr>
          <w:ilvl w:val="0"/>
          <w:numId w:val="2"/>
        </w:numPr>
        <w:spacing w:after="40" w:line="340"/>
      </w:pPr>
      <w:r>
        <w:rPr>
          <w:rFonts w:ascii="SimSun" w:cs="SimSun" w:eastAsia="SimSun" w:hAnsi="SimSun"/>
          <w:sz w:val="22"/>
          <w:szCs w:val="22"/>
        </w:rPr>
        <w:t xml:space="preserve">温度测量范围0～90℃，温差范围4～95℃；</w:t>
      </w:r>
    </w:p>
    <w:p>
      <w:pPr>
        <w:pStyle w:val="ListParagraph"/>
        <w:numPr>
          <w:ilvl w:val="0"/>
          <w:numId w:val="2"/>
        </w:numPr>
        <w:spacing w:after="40" w:line="340"/>
      </w:pPr>
      <w:r>
        <w:rPr>
          <w:rFonts w:ascii="SimSun" w:cs="SimSun" w:eastAsia="SimSun" w:hAnsi="SimSun"/>
          <w:sz w:val="22"/>
          <w:szCs w:val="22"/>
        </w:rPr>
        <w:t xml:space="preserve">监测参数：供回水温度、累积流量、累积计冷（热）量、瞬时流量等。</w:t>
      </w:r>
    </w:p>
    <w:p>
      <w:pPr>
        <w:pStyle w:val="Heading2"/>
      </w:pPr>
      <w:r>
        <w:t xml:space="preserve">7.4 服务器与操作系统</w:t>
      </w:r>
    </w:p>
    <w:p>
      <w:pPr>
        <w:spacing w:after="100" w:line="360"/>
      </w:pPr>
      <w:r>
        <w:rPr>
          <w:rFonts w:ascii="SimSun" w:cs="SimSun" w:eastAsia="SimSun" w:hAnsi="SimSun"/>
          <w:sz w:val="22"/>
          <w:szCs w:val="22"/>
        </w:rPr>
        <w:t xml:space="preserve">服务器按功能划分为应用服务器与数据服务器。小型项目可选用高性能商用台式机或云实例；中大型项目采用分离式部署架构。</w:t>
      </w:r>
    </w:p>
    <w:p>
      <w:pPr>
        <w:spacing w:after="100" w:line="360"/>
      </w:pPr>
      <w:r>
        <w:rPr>
          <w:rFonts w:ascii="SimSun" w:cs="SimSun" w:eastAsia="SimSun" w:hAnsi="SimSun"/>
          <w:sz w:val="22"/>
          <w:szCs w:val="22"/>
        </w:rPr>
        <w:t xml:space="preserve">系统支持Windows、Linux主流发行版（CentOS/Ubuntu/Debian/RHEL）以及国产操作系统（银河麒麟V10、中标麒麟、统信UOS），支持x86_64和AArch64（含华为鲲鹏、飞腾）架构。</w:t>
      </w:r>
    </w:p>
    <w:p>
      <w:r>
        <w:br w:type="page"/>
      </w:r>
    </w:p>
    <w:p>
      <w:pPr>
        <w:pStyle w:val="Heading1"/>
      </w:pPr>
      <w:r>
        <w:t xml:space="preserve">八、施工实施方案</w:t>
      </w:r>
    </w:p>
    <w:p>
      <w:pPr>
        <w:pStyle w:val="Heading2"/>
      </w:pPr>
      <w:r>
        <w:t xml:space="preserve">8.1 总体施工原则</w:t>
      </w:r>
    </w:p>
    <w:p>
      <w:pPr>
        <w:spacing w:after="100" w:line="360"/>
      </w:pPr>
      <w:r>
        <w:rPr>
          <w:rFonts w:ascii="SimSun" w:cs="SimSun" w:eastAsia="SimSun" w:hAnsi="SimSun"/>
          <w:sz w:val="22"/>
          <w:szCs w:val="22"/>
        </w:rPr>
        <w:t xml:space="preserve">能耗采集设备施工程序：接受任务阶段→开工前准备阶段→主要设备安装→线路电缆敷设→各类箱体安装→调试运行→交工验收阶段。</w:t>
      </w:r>
    </w:p>
    <w:p>
      <w:pPr>
        <w:pStyle w:val="Heading2"/>
      </w:pPr>
      <w:r>
        <w:t xml:space="preserve">8.2 设备安装与施工要求</w:t>
      </w:r>
    </w:p>
    <w:p>
      <w:pPr>
        <w:pStyle w:val="Heading3"/>
      </w:pPr>
      <w:r>
        <w:t xml:space="preserve">8.2.1 现场安装要点</w:t>
      </w:r>
    </w:p>
    <w:p>
      <w:pPr>
        <w:pStyle w:val="ListParagraph"/>
        <w:numPr>
          <w:ilvl w:val="0"/>
          <w:numId w:val="2"/>
        </w:numPr>
        <w:spacing w:after="40" w:line="340"/>
      </w:pPr>
      <w:r>
        <w:rPr>
          <w:rFonts w:ascii="SimSun" w:cs="SimSun" w:eastAsia="SimSun" w:hAnsi="SimSun"/>
          <w:sz w:val="22"/>
          <w:szCs w:val="22"/>
        </w:rPr>
        <w:t xml:space="preserve">设备安装应牢固、平正、美观，光线充足，维修方便；</w:t>
      </w:r>
    </w:p>
    <w:p>
      <w:pPr>
        <w:pStyle w:val="ListParagraph"/>
        <w:numPr>
          <w:ilvl w:val="0"/>
          <w:numId w:val="2"/>
        </w:numPr>
        <w:spacing w:after="40" w:line="340"/>
      </w:pPr>
      <w:r>
        <w:rPr>
          <w:rFonts w:ascii="SimSun" w:cs="SimSun" w:eastAsia="SimSun" w:hAnsi="SimSun"/>
          <w:sz w:val="22"/>
          <w:szCs w:val="22"/>
        </w:rPr>
        <w:t xml:space="preserve">避免安装在振动、潮湿、强磁场干扰、高温、腐蚀性气体的地方。</w:t>
      </w:r>
    </w:p>
    <w:p>
      <w:pPr>
        <w:pStyle w:val="Heading3"/>
      </w:pPr>
      <w:r>
        <w:t xml:space="preserve">8.2.2 布线要求</w:t>
      </w:r>
    </w:p>
    <w:p>
      <w:pPr>
        <w:spacing w:after="100" w:line="360"/>
      </w:pPr>
      <w:r>
        <w:rPr>
          <w:rFonts w:ascii="SimSun" w:cs="SimSun" w:eastAsia="SimSun" w:hAnsi="SimSun"/>
          <w:sz w:val="22"/>
          <w:szCs w:val="22"/>
        </w:rPr>
        <w:t xml:space="preserve">信号线采用带屏蔽五类双绞线，严禁与电源线走在一起。RS485通讯采用屏蔽2芯双绞线（PRSV 2×1.0mm²），屏蔽层单端接地。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c>
          <w:tcPr>
            <w:tcW w:type="dxa" w:w="1805"/>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波特率（Bps）</w:t>
            </w:r>
          </w:p>
        </w:tc>
        <w:tc>
          <w:tcPr>
            <w:tcW w:type="dxa" w:w="1805"/>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1200</w:t>
            </w:r>
          </w:p>
        </w:tc>
        <w:tc>
          <w:tcPr>
            <w:tcW w:type="dxa" w:w="1805"/>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2400</w:t>
            </w:r>
          </w:p>
        </w:tc>
        <w:tc>
          <w:tcPr>
            <w:tcW w:type="dxa" w:w="1805"/>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4800</w:t>
            </w:r>
          </w:p>
        </w:tc>
        <w:tc>
          <w:tcPr>
            <w:tcW w:type="dxa" w:w="1805"/>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9600</w:t>
            </w:r>
          </w:p>
        </w:tc>
      </w:tr>
      <w:tr>
        <w:tc>
          <w:tcPr>
            <w:tcW w:type="dxa" w:w="1805"/>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最大传输距离（米）</w:t>
            </w:r>
          </w:p>
        </w:tc>
        <w:tc>
          <w:tcPr>
            <w:tcW w:type="dxa" w:w="1805"/>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2000</w:t>
            </w:r>
          </w:p>
        </w:tc>
        <w:tc>
          <w:tcPr>
            <w:tcW w:type="dxa" w:w="1805"/>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1800</w:t>
            </w:r>
          </w:p>
        </w:tc>
        <w:tc>
          <w:tcPr>
            <w:tcW w:type="dxa" w:w="1805"/>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1200</w:t>
            </w:r>
          </w:p>
        </w:tc>
        <w:tc>
          <w:tcPr>
            <w:tcW w:type="dxa" w:w="1805"/>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800</w:t>
            </w:r>
          </w:p>
        </w:tc>
      </w:tr>
    </w:tbl>
    <w:p>
      <w:pPr>
        <w:spacing w:after="0"/>
      </w:pPr>
    </w:p>
    <w:p>
      <w:pPr>
        <w:pStyle w:val="Heading3"/>
      </w:pPr>
      <w:r>
        <w:t xml:space="preserve">8.2.3 电表安装</w:t>
      </w:r>
    </w:p>
    <w:p>
      <w:pPr>
        <w:pStyle w:val="ListParagraph"/>
        <w:numPr>
          <w:ilvl w:val="0"/>
          <w:numId w:val="2"/>
        </w:numPr>
        <w:spacing w:after="40" w:line="340"/>
      </w:pPr>
      <w:r>
        <w:rPr>
          <w:rFonts w:ascii="SimSun" w:cs="SimSun" w:eastAsia="SimSun" w:hAnsi="SimSun"/>
          <w:sz w:val="22"/>
          <w:szCs w:val="22"/>
        </w:rPr>
        <w:t xml:space="preserve">安装垂直度允许偏差不大于5度；按照接线盒上接线图用铜接线头接入；</w:t>
      </w:r>
    </w:p>
    <w:p>
      <w:pPr>
        <w:pStyle w:val="ListParagraph"/>
        <w:numPr>
          <w:ilvl w:val="0"/>
          <w:numId w:val="2"/>
        </w:numPr>
        <w:spacing w:after="40" w:line="340"/>
      </w:pPr>
      <w:r>
        <w:rPr>
          <w:rFonts w:ascii="SimSun" w:cs="SimSun" w:eastAsia="SimSun" w:hAnsi="SimSun"/>
          <w:sz w:val="22"/>
          <w:szCs w:val="22"/>
        </w:rPr>
        <w:t xml:space="preserve">安装和拆卸电度表前先切断电源。</w:t>
      </w:r>
    </w:p>
    <w:p>
      <w:pPr>
        <w:pStyle w:val="Heading2"/>
      </w:pPr>
      <w:r>
        <w:t xml:space="preserve">8.3 系统调试</w:t>
      </w:r>
    </w:p>
    <w:p>
      <w:pPr>
        <w:pStyle w:val="Heading3"/>
      </w:pPr>
      <w:r>
        <w:t xml:space="preserve">8.3.1 计量单点调试</w:t>
      </w:r>
    </w:p>
    <w:p>
      <w:pPr>
        <w:spacing w:after="100" w:line="360"/>
      </w:pPr>
      <w:r>
        <w:rPr>
          <w:rFonts w:ascii="SimSun" w:cs="SimSun" w:eastAsia="SimSun" w:hAnsi="SimSun"/>
          <w:sz w:val="22"/>
          <w:szCs w:val="22"/>
        </w:rPr>
        <w:t xml:space="preserve">使用装有能耗计量管理系统的计算机，逐一连接计量装置数据输出接口，查对信息采集数据与计量装置盘面数值。有功功率P、无功功率Q及视在功率S间应满足：S²≈P²+Q²。</w:t>
      </w:r>
    </w:p>
    <w:p>
      <w:pPr>
        <w:pStyle w:val="Heading3"/>
      </w:pPr>
      <w:r>
        <w:t xml:space="preserve">8.3.2 分类分项调试</w:t>
      </w:r>
    </w:p>
    <w:p>
      <w:pPr>
        <w:spacing w:after="100" w:line="360"/>
      </w:pPr>
      <w:r>
        <w:rPr>
          <w:rFonts w:ascii="SimSun" w:cs="SimSun" w:eastAsia="SimSun" w:hAnsi="SimSun"/>
          <w:sz w:val="22"/>
          <w:szCs w:val="22"/>
        </w:rPr>
        <w:t xml:space="preserve">全部开启能耗采集终端和系统软件，按供能系统操作规程开启同类用能负载，逐一核对能耗计量装置、数据采集点地址编码。</w:t>
      </w:r>
    </w:p>
    <w:p>
      <w:pPr>
        <w:pStyle w:val="Heading3"/>
      </w:pPr>
      <w:r>
        <w:t xml:space="preserve">8.3.3 数据有效性核对</w:t>
      </w:r>
    </w:p>
    <w:p>
      <w:pPr>
        <w:pStyle w:val="ListParagraph"/>
        <w:numPr>
          <w:ilvl w:val="0"/>
          <w:numId w:val="2"/>
        </w:numPr>
        <w:spacing w:after="40" w:line="340"/>
      </w:pPr>
      <w:r>
        <w:rPr>
          <w:rFonts w:ascii="SimSun" w:cs="SimSun" w:eastAsia="SimSun" w:hAnsi="SimSun"/>
          <w:sz w:val="22"/>
          <w:szCs w:val="22"/>
        </w:rPr>
        <w:t xml:space="preserve">比对变压器高压侧计量电耗之和与低压侧电耗总量之和，差值应在合理损耗范围之内；</w:t>
      </w:r>
    </w:p>
    <w:p>
      <w:pPr>
        <w:pStyle w:val="ListParagraph"/>
        <w:numPr>
          <w:ilvl w:val="0"/>
          <w:numId w:val="2"/>
        </w:numPr>
        <w:spacing w:after="40" w:line="340"/>
      </w:pPr>
      <w:r>
        <w:rPr>
          <w:rFonts w:ascii="SimSun" w:cs="SimSun" w:eastAsia="SimSun" w:hAnsi="SimSun"/>
          <w:sz w:val="22"/>
          <w:szCs w:val="22"/>
        </w:rPr>
        <w:t xml:space="preserve">比对变压器低压侧计量的电耗数据与其引出支路上所有电耗之和；</w:t>
      </w:r>
    </w:p>
    <w:p>
      <w:pPr>
        <w:pStyle w:val="ListParagraph"/>
        <w:numPr>
          <w:ilvl w:val="0"/>
          <w:numId w:val="2"/>
        </w:numPr>
        <w:spacing w:after="40" w:line="340"/>
      </w:pPr>
      <w:r>
        <w:rPr>
          <w:rFonts w:ascii="SimSun" w:cs="SimSun" w:eastAsia="SimSun" w:hAnsi="SimSun"/>
          <w:sz w:val="22"/>
          <w:szCs w:val="22"/>
        </w:rPr>
        <w:t xml:space="preserve">比对安装电能计量装置的各支路所带设备实测耗电量与各设备铭牌额定功率之和。</w:t>
      </w:r>
    </w:p>
    <w:p>
      <w:pPr>
        <w:pStyle w:val="Heading2"/>
      </w:pPr>
      <w:r>
        <w:t xml:space="preserve">8.4 施工进度安排</w:t>
      </w:r>
    </w:p>
    <w:p>
      <w:pPr>
        <w:spacing w:after="100" w:line="360"/>
      </w:pPr>
      <w:r>
        <w:rPr>
          <w:rFonts w:ascii="SimSun" w:cs="SimSun" w:eastAsia="SimSun" w:hAnsi="SimSun"/>
          <w:sz w:val="22"/>
          <w:szCs w:val="22"/>
        </w:rPr>
        <w:t xml:space="preserve">主要工作阶段：工程勘查→系统设计→软件需求调研→设备采购→安装施工→软件开发→系统调试→竣工验收。</w:t>
      </w:r>
    </w:p>
    <w:p>
      <w:r>
        <w:br w:type="page"/>
      </w:r>
    </w:p>
    <w:p>
      <w:pPr>
        <w:pStyle w:val="Heading1"/>
      </w:pPr>
      <w:r>
        <w:t xml:space="preserve">九、系统集成与技术方案</w:t>
      </w:r>
    </w:p>
    <w:p>
      <w:pPr>
        <w:pStyle w:val="Heading2"/>
      </w:pPr>
      <w:r>
        <w:t xml:space="preserve">9.1 数据集成与互联互通</w:t>
      </w:r>
    </w:p>
    <w:p>
      <w:pPr>
        <w:pStyle w:val="ListParagraph"/>
        <w:numPr>
          <w:ilvl w:val="0"/>
          <w:numId w:val="2"/>
        </w:numPr>
        <w:spacing w:after="40" w:line="340"/>
      </w:pPr>
      <w:r>
        <w:rPr>
          <w:rFonts w:ascii="SimSun" w:cs="SimSun" w:eastAsia="SimSun" w:hAnsi="SimSun"/>
          <w:sz w:val="22"/>
          <w:szCs w:val="22"/>
        </w:rPr>
        <w:t xml:space="preserve">与企业ERP、MES、SCADA系统对接，自动获取生产数据；</w:t>
      </w:r>
    </w:p>
    <w:p>
      <w:pPr>
        <w:pStyle w:val="ListParagraph"/>
        <w:numPr>
          <w:ilvl w:val="0"/>
          <w:numId w:val="2"/>
        </w:numPr>
        <w:spacing w:after="40" w:line="340"/>
      </w:pPr>
      <w:r>
        <w:rPr>
          <w:rFonts w:ascii="SimSun" w:cs="SimSun" w:eastAsia="SimSun" w:hAnsi="SimSun"/>
          <w:sz w:val="22"/>
          <w:szCs w:val="22"/>
        </w:rPr>
        <w:t xml:space="preserve">与智能电表、能源管理终端等IoT设备直接对接；</w:t>
      </w:r>
    </w:p>
    <w:p>
      <w:pPr>
        <w:pStyle w:val="ListParagraph"/>
        <w:numPr>
          <w:ilvl w:val="0"/>
          <w:numId w:val="2"/>
        </w:numPr>
        <w:spacing w:after="40" w:line="340"/>
      </w:pPr>
      <w:r>
        <w:rPr>
          <w:rFonts w:ascii="SimSun" w:cs="SimSun" w:eastAsia="SimSun" w:hAnsi="SimSun"/>
          <w:sz w:val="22"/>
          <w:szCs w:val="22"/>
        </w:rPr>
        <w:t xml:space="preserve">与全国碳市场管理平台、全国碳排放权注册登记系统对接；</w:t>
      </w:r>
    </w:p>
    <w:p>
      <w:pPr>
        <w:pStyle w:val="ListParagraph"/>
        <w:numPr>
          <w:ilvl w:val="0"/>
          <w:numId w:val="2"/>
        </w:numPr>
        <w:spacing w:after="40" w:line="340"/>
      </w:pPr>
      <w:r>
        <w:rPr>
          <w:rFonts w:ascii="SimSun" w:cs="SimSun" w:eastAsia="SimSun" w:hAnsi="SimSun"/>
          <w:sz w:val="22"/>
          <w:szCs w:val="22"/>
        </w:rPr>
        <w:t xml:space="preserve">支持标准API接口，便于第三方系统集成。</w:t>
      </w:r>
    </w:p>
    <w:p>
      <w:pPr>
        <w:pStyle w:val="Heading2"/>
      </w:pPr>
      <w:r>
        <w:t xml:space="preserve">9.2 数据安全与隐私保护</w:t>
      </w:r>
    </w:p>
    <w:p>
      <w:pPr>
        <w:pStyle w:val="ListParagraph"/>
        <w:numPr>
          <w:ilvl w:val="0"/>
          <w:numId w:val="2"/>
        </w:numPr>
        <w:spacing w:after="40" w:line="340"/>
      </w:pPr>
      <w:r>
        <w:rPr>
          <w:rFonts w:ascii="SimSun" w:cs="SimSun" w:eastAsia="SimSun" w:hAnsi="SimSun"/>
          <w:sz w:val="22"/>
          <w:szCs w:val="22"/>
        </w:rPr>
        <w:t xml:space="preserve">数据传输采用TLS 1.3加密，存储采用AES-256加密；</w:t>
      </w:r>
    </w:p>
    <w:p>
      <w:pPr>
        <w:pStyle w:val="ListParagraph"/>
        <w:numPr>
          <w:ilvl w:val="0"/>
          <w:numId w:val="2"/>
        </w:numPr>
        <w:spacing w:after="40" w:line="340"/>
      </w:pPr>
      <w:r>
        <w:rPr>
          <w:rFonts w:ascii="SimSun" w:cs="SimSun" w:eastAsia="SimSun" w:hAnsi="SimSun"/>
          <w:sz w:val="22"/>
          <w:szCs w:val="22"/>
        </w:rPr>
        <w:t xml:space="preserve">基于角色的访问控制（RBAC），精细化管理数据权限；</w:t>
      </w:r>
    </w:p>
    <w:p>
      <w:pPr>
        <w:pStyle w:val="ListParagraph"/>
        <w:numPr>
          <w:ilvl w:val="0"/>
          <w:numId w:val="2"/>
        </w:numPr>
        <w:spacing w:after="40" w:line="340"/>
      </w:pPr>
      <w:r>
        <w:rPr>
          <w:rFonts w:ascii="SimSun" w:cs="SimSun" w:eastAsia="SimSun" w:hAnsi="SimSun"/>
          <w:sz w:val="22"/>
          <w:szCs w:val="22"/>
        </w:rPr>
        <w:t xml:space="preserve">满足《数据安全法》《个人信息保护法》和等保2.0合规要求。</w:t>
      </w:r>
    </w:p>
    <w:p>
      <w:pPr>
        <w:pStyle w:val="Heading2"/>
      </w:pPr>
      <w:r>
        <w:t xml:space="preserve">9.3 平台扩展性</w:t>
      </w:r>
    </w:p>
    <w:p>
      <w:pPr>
        <w:pStyle w:val="ListParagraph"/>
        <w:numPr>
          <w:ilvl w:val="0"/>
          <w:numId w:val="2"/>
        </w:numPr>
        <w:spacing w:after="40" w:line="340"/>
      </w:pPr>
      <w:r>
        <w:rPr>
          <w:rFonts w:ascii="SimSun" w:cs="SimSun" w:eastAsia="SimSun" w:hAnsi="SimSun"/>
          <w:sz w:val="22"/>
          <w:szCs w:val="22"/>
        </w:rPr>
        <w:t xml:space="preserve">水平扩展：支持从单个园区到跨区域多园区的平滑扩展；</w:t>
      </w:r>
    </w:p>
    <w:p>
      <w:pPr>
        <w:pStyle w:val="ListParagraph"/>
        <w:numPr>
          <w:ilvl w:val="0"/>
          <w:numId w:val="2"/>
        </w:numPr>
        <w:spacing w:after="40" w:line="340"/>
      </w:pPr>
      <w:r>
        <w:rPr>
          <w:rFonts w:ascii="SimSun" w:cs="SimSun" w:eastAsia="SimSun" w:hAnsi="SimSun"/>
          <w:sz w:val="22"/>
          <w:szCs w:val="22"/>
        </w:rPr>
        <w:t xml:space="preserve">垂直扩展：新增行业核算方法学可插拔式接入；</w:t>
      </w:r>
    </w:p>
    <w:p>
      <w:pPr>
        <w:pStyle w:val="ListParagraph"/>
        <w:numPr>
          <w:ilvl w:val="0"/>
          <w:numId w:val="2"/>
        </w:numPr>
        <w:spacing w:after="40" w:line="340"/>
      </w:pPr>
      <w:r>
        <w:rPr>
          <w:rFonts w:ascii="SimSun" w:cs="SimSun" w:eastAsia="SimSun" w:hAnsi="SimSun"/>
          <w:sz w:val="22"/>
          <w:szCs w:val="22"/>
        </w:rPr>
        <w:t xml:space="preserve">生态扩展：支持第三方开发排放因子插件、交易策略模型等。</w:t>
      </w:r>
    </w:p>
    <w:p>
      <w:r>
        <w:br w:type="page"/>
      </w:r>
    </w:p>
    <w:p>
      <w:pPr>
        <w:pStyle w:val="Heading1"/>
      </w:pPr>
      <w:r>
        <w:t xml:space="preserve">十、实施路径与运营模式</w:t>
      </w:r>
    </w:p>
    <w:p>
      <w:pPr>
        <w:pStyle w:val="Heading2"/>
      </w:pPr>
      <w:r>
        <w:t xml:space="preserve">10.1 分阶段实施</w:t>
      </w:r>
    </w:p>
    <w:p>
      <w:pPr>
        <w:spacing w:after="80" w:line="360"/>
      </w:pPr>
      <w:r>
        <w:rPr>
          <w:rFonts w:ascii="SimSun" w:cs="SimSun" w:eastAsia="SimSun" w:hAnsi="SimSun"/>
          <w:b/>
          <w:bCs/>
          <w:sz w:val="22"/>
          <w:szCs w:val="22"/>
        </w:rPr>
        <w:t xml:space="preserve">第一阶段：基础建设期（3-4个月）</w:t>
      </w:r>
      <w:r>
        <w:rPr>
          <w:rFonts w:ascii="SimSun" w:cs="SimSun" w:eastAsia="SimSun" w:hAnsi="SimSun"/>
          <w:sz w:val="22"/>
          <w:szCs w:val="22"/>
        </w:rPr>
        <w:t xml:space="preserve"/>
      </w:r>
    </w:p>
    <w:p>
      <w:pPr>
        <w:pStyle w:val="ListParagraph"/>
        <w:numPr>
          <w:ilvl w:val="0"/>
          <w:numId w:val="2"/>
        </w:numPr>
        <w:spacing w:after="40" w:line="340"/>
      </w:pPr>
      <w:r>
        <w:rPr>
          <w:rFonts w:ascii="SimSun" w:cs="SimSun" w:eastAsia="SimSun" w:hAnsi="SimSun"/>
          <w:sz w:val="22"/>
          <w:szCs w:val="22"/>
        </w:rPr>
        <w:t xml:space="preserve">部署能耗监测硬件设备和数据采集系统；搭建能碳管理平台基础框架。</w:t>
      </w:r>
    </w:p>
    <w:p>
      <w:pPr>
        <w:spacing w:after="80" w:line="360"/>
      </w:pPr>
      <w:r>
        <w:rPr>
          <w:rFonts w:ascii="SimSun" w:cs="SimSun" w:eastAsia="SimSun" w:hAnsi="SimSun"/>
          <w:b/>
          <w:bCs/>
          <w:sz w:val="22"/>
          <w:szCs w:val="22"/>
        </w:rPr>
        <w:t xml:space="preserve">第二阶段：功能深化期（2-3个月）</w:t>
      </w:r>
      <w:r>
        <w:rPr>
          <w:rFonts w:ascii="SimSun" w:cs="SimSun" w:eastAsia="SimSun" w:hAnsi="SimSun"/>
          <w:sz w:val="22"/>
          <w:szCs w:val="22"/>
        </w:rPr>
        <w:t xml:space="preserve"/>
      </w:r>
    </w:p>
    <w:p>
      <w:pPr>
        <w:pStyle w:val="ListParagraph"/>
        <w:numPr>
          <w:ilvl w:val="0"/>
          <w:numId w:val="2"/>
        </w:numPr>
        <w:spacing w:after="40" w:line="340"/>
      </w:pPr>
      <w:r>
        <w:rPr>
          <w:rFonts w:ascii="SimSun" w:cs="SimSun" w:eastAsia="SimSun" w:hAnsi="SimSun"/>
          <w:sz w:val="22"/>
          <w:szCs w:val="22"/>
        </w:rPr>
        <w:t xml:space="preserve">上线碳排放核算引擎，实现碳配额管理和交易决策支持功能。</w:t>
      </w:r>
    </w:p>
    <w:p>
      <w:pPr>
        <w:spacing w:after="80" w:line="360"/>
      </w:pPr>
      <w:r>
        <w:rPr>
          <w:rFonts w:ascii="SimSun" w:cs="SimSun" w:eastAsia="SimSun" w:hAnsi="SimSun"/>
          <w:b/>
          <w:bCs/>
          <w:sz w:val="22"/>
          <w:szCs w:val="22"/>
        </w:rPr>
        <w:t xml:space="preserve">第三阶段：优化扩展期（持续）</w:t>
      </w:r>
      <w:r>
        <w:rPr>
          <w:rFonts w:ascii="SimSun" w:cs="SimSun" w:eastAsia="SimSun" w:hAnsi="SimSun"/>
          <w:sz w:val="22"/>
          <w:szCs w:val="22"/>
        </w:rPr>
        <w:t xml:space="preserve"/>
      </w:r>
    </w:p>
    <w:p>
      <w:pPr>
        <w:pStyle w:val="ListParagraph"/>
        <w:numPr>
          <w:ilvl w:val="0"/>
          <w:numId w:val="2"/>
        </w:numPr>
        <w:spacing w:after="40" w:line="340"/>
      </w:pPr>
      <w:r>
        <w:rPr>
          <w:rFonts w:ascii="SimSun" w:cs="SimSun" w:eastAsia="SimSun" w:hAnsi="SimSun"/>
          <w:sz w:val="22"/>
          <w:szCs w:val="22"/>
        </w:rPr>
        <w:t xml:space="preserve">推广覆盖园区全部企业，持续优化AI预测模型和交易策略。</w:t>
      </w:r>
    </w:p>
    <w:p>
      <w:pPr>
        <w:pStyle w:val="Heading2"/>
      </w:pPr>
      <w:r>
        <w:t xml:space="preserve">10.2 运营服务模式</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服务模式</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适用客户</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服务内容</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SaaS订阅模式</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中小企业</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按年付费，平台即用</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私有部署+运维</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大型企业/园区</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本地化部署+定期运维</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混合模式</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集团管控+下属企业</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集团私有部署+企业SaaS接入</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碳管理咨询</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所有客户</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核算培训+数据审核+交易策略咨询</w:t>
            </w:r>
          </w:p>
        </w:tc>
      </w:tr>
    </w:tbl>
    <w:p>
      <w:pPr>
        <w:spacing w:after="0"/>
      </w:pPr>
    </w:p>
    <w:p>
      <w:r>
        <w:br w:type="page"/>
      </w:r>
    </w:p>
    <w:p>
      <w:pPr>
        <w:pStyle w:val="Heading1"/>
      </w:pPr>
      <w:r>
        <w:t xml:space="preserve">十一、投资估算与效益分析</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8"/>
        <w:gridCol w:w="3008"/>
        <w:gridCol w:w="3008"/>
      </w:tblGrid>
      <w:tr>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投资项</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明细</w:t>
            </w:r>
          </w:p>
        </w:tc>
        <w:tc>
          <w:tcPr>
            <w:tcW w:type="dxa" w:w="3008"/>
            <w:tcBorders>
              <w:top w:val="single" w:color="AAAAAA" w:sz="1"/>
              <w:left w:val="single" w:color="AAAAAA" w:sz="1"/>
              <w:bottom w:val="single" w:color="AAAAAA" w:sz="1"/>
              <w:right w:val="single" w:color="AAAAAA" w:sz="1"/>
            </w:tcBorders>
            <w:shd w:fill="1F4E79" w:val="clear"/>
            <w:tcMar>
              <w:top w:type="dxa" w:w="60"/>
              <w:left w:type="dxa" w:w="100"/>
              <w:bottom w:type="dxa" w:w="60"/>
              <w:right w:type="dxa" w:w="100"/>
            </w:tcMar>
            <w:vAlign w:val="center"/>
          </w:tcPr>
          <w:p>
            <w:pPr>
              <w:jc w:val="center"/>
            </w:pPr>
            <w:r>
              <w:rPr>
                <w:rFonts w:ascii="SimSun" w:cs="SimSun" w:eastAsia="SimSun" w:hAnsi="SimSun"/>
                <w:b/>
                <w:bCs/>
                <w:color w:val="FFFFFF"/>
                <w:sz w:val="20"/>
                <w:szCs w:val="20"/>
              </w:rPr>
              <w:t xml:space="preserve">估算金额（万元）</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硬件设备</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智能计量仪表、采集网关、边缘计算节点</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80-150</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平台建设</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软件平台开发与部署</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100-200</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系统集成</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与企业现有系统对接</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30-60</w:t>
            </w:r>
          </w:p>
        </w:tc>
      </w:tr>
      <w:tr>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实施服务</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安装调试、数据初始化、培训</w:t>
            </w:r>
          </w:p>
        </w:tc>
        <w:tc>
          <w:tcPr>
            <w:tcW w:type="dxa" w:w="3008"/>
            <w:tcBorders>
              <w:top w:val="single" w:color="AAAAAA" w:sz="1"/>
              <w:left w:val="single" w:color="AAAAAA" w:sz="1"/>
              <w:bottom w:val="single" w:color="AAAAAA" w:sz="1"/>
              <w:right w:val="single" w:color="AAAAAA" w:sz="1"/>
            </w:tcBorders>
            <w:tcMar>
              <w:top w:type="dxa" w:w="60"/>
              <w:left w:type="dxa" w:w="100"/>
              <w:bottom w:type="dxa" w:w="60"/>
              <w:right w:type="dxa" w:w="100"/>
            </w:tcMar>
          </w:tcPr>
          <w:p>
            <w:r>
              <w:rPr>
                <w:rFonts w:ascii="SimSun" w:cs="SimSun" w:eastAsia="SimSun" w:hAnsi="SimSun"/>
                <w:sz w:val="20"/>
                <w:szCs w:val="20"/>
              </w:rPr>
              <w:t xml:space="preserve">20-40</w:t>
            </w:r>
          </w:p>
        </w:tc>
      </w:tr>
      <w:tr>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年度运维</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平台运维、技术支持、数据服务</w:t>
            </w:r>
          </w:p>
        </w:tc>
        <w:tc>
          <w:tcPr>
            <w:tcW w:type="dxa" w:w="3008"/>
            <w:tcBorders>
              <w:top w:val="single" w:color="AAAAAA" w:sz="1"/>
              <w:left w:val="single" w:color="AAAAAA" w:sz="1"/>
              <w:bottom w:val="single" w:color="AAAAAA" w:sz="1"/>
              <w:right w:val="single" w:color="AAAAAA" w:sz="1"/>
            </w:tcBorders>
            <w:shd w:fill="F2F2F2" w:val="clear"/>
            <w:tcMar>
              <w:top w:type="dxa" w:w="60"/>
              <w:left w:type="dxa" w:w="100"/>
              <w:bottom w:type="dxa" w:w="60"/>
              <w:right w:type="dxa" w:w="100"/>
            </w:tcMar>
          </w:tcPr>
          <w:p>
            <w:r>
              <w:rPr>
                <w:rFonts w:ascii="SimSun" w:cs="SimSun" w:eastAsia="SimSun" w:hAnsi="SimSun"/>
                <w:sz w:val="20"/>
                <w:szCs w:val="20"/>
              </w:rPr>
              <w:t xml:space="preserve">15-30/年</w:t>
            </w:r>
          </w:p>
        </w:tc>
      </w:tr>
    </w:tbl>
    <w:p>
      <w:pPr>
        <w:spacing w:after="0"/>
      </w:pPr>
    </w:p>
    <w:p>
      <w:pPr>
        <w:spacing w:after="100" w:line="360"/>
      </w:pPr>
      <w:r>
        <w:rPr>
          <w:rFonts w:ascii="SimSun" w:cs="SimSun" w:eastAsia="SimSun" w:hAnsi="SimSun"/>
          <w:sz w:val="22"/>
          <w:szCs w:val="22"/>
        </w:rPr>
        <w:t xml:space="preserve">预计投资回收期为1.5-2.5年，后续年度为持续净收益期。</w:t>
      </w:r>
    </w:p>
    <w:p>
      <w:r>
        <w:br w:type="page"/>
      </w:r>
    </w:p>
    <w:p>
      <w:pPr>
        <w:pStyle w:val="Heading1"/>
      </w:pPr>
      <w:r>
        <w:t xml:space="preserve">十二、结语与展望</w:t>
      </w:r>
    </w:p>
    <w:p>
      <w:pPr>
        <w:spacing w:after="100" w:line="360"/>
      </w:pPr>
      <w:r>
        <w:rPr>
          <w:rFonts w:ascii="SimSun" w:cs="SimSun" w:eastAsia="SimSun" w:hAnsi="SimSun"/>
          <w:sz w:val="22"/>
          <w:szCs w:val="22"/>
        </w:rPr>
        <w:t xml:space="preserve">随着2026年全国碳市场正式扩围至四大行业，能碳管理已从"可选项"变为"必选项"。本方案以"能耗监测—能碳核算—能碳交易"的全链条闭环为核心，以国家最新政策体系和排放因子数据库为数据基础，以数字化智能平台为技术支撑，为园区和企业提供一站式能碳管理解决方案。</w:t>
      </w:r>
    </w:p>
    <w:p>
      <w:pPr>
        <w:jc w:val="center"/>
      </w:pPr>
      <w:r>
        <w:rPr>
          <w:rFonts w:ascii="SimSun" w:cs="SimSun" w:eastAsia="SimSun" w:hAnsi="SimSun"/>
          <w:i/>
          <w:iCs/>
          <w:color w:val="999999"/>
          <w:sz w:val="20"/>
          <w:szCs w:val="20"/>
        </w:rPr>
        <w:t xml:space="preserve">—— 本方案基于《能碳核算国家政策汇编_2026》及原通微能耗管理系统方案内容整合编制 ——</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 </w:t>
    </w:r>
    <w:r>
      <w:rPr>
        <w:color w:val="999999"/>
        <w:sz w:val="18"/>
        <w:szCs w:val="18"/>
      </w:rPr>
      <w:fldChar w:fldCharType="begin"/>
      <w:instrText xml:space="preserve">PAGE</w:instrText>
      <w:fldChar w:fldCharType="separate"/>
      <w:fldChar w:fldCharType="end"/>
    </w:r>
    <w:r>
      <w:rPr>
        <w:color w:val="999999"/>
        <w:sz w:val="18"/>
        <w:szCs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6" w:space="4"/>
      </w:pBdr>
      <w:jc w:val="right"/>
    </w:pPr>
    <w:r>
      <w:rPr>
        <w:rFonts w:ascii="SimSun" w:cs="SimSun" w:eastAsia="SimSun" w:hAnsi="SimSun"/>
        <w:color w:val="999999"/>
        <w:sz w:val="18"/>
        <w:szCs w:val="18"/>
      </w:rPr>
      <w:t xml:space="preserve">园区能碳管理系统综合解决方案 V3.1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SimHei" w:cs="SimHei" w:eastAsia="SimHei" w:hAnsi="SimHei"/>
      <w:b/>
      <w:bCs/>
      <w:color w:val="1F4E79"/>
      <w:sz w:val="36"/>
      <w:szCs w:val="36"/>
    </w:rPr>
  </w:style>
  <w:style w:type="paragraph" w:styleId="Heading2">
    <w:name w:val="Heading 2"/>
    <w:basedOn w:val="Normal"/>
    <w:next w:val="Normal"/>
    <w:qFormat/>
    <w:pPr>
      <w:spacing w:after="160" w:before="240"/>
      <w:outlineLvl w:val="1"/>
    </w:pPr>
    <w:rPr>
      <w:rFonts w:ascii="SimHei" w:cs="SimHei" w:eastAsia="SimHei" w:hAnsi="SimHei"/>
      <w:b/>
      <w:bCs/>
      <w:color w:val="1F4E79"/>
      <w:sz w:val="28"/>
      <w:szCs w:val="28"/>
    </w:rPr>
  </w:style>
  <w:style w:type="paragraph" w:styleId="Heading3">
    <w:name w:val="Heading 3"/>
    <w:basedOn w:val="Normal"/>
    <w:next w:val="Normal"/>
    <w:qFormat/>
    <w:pPr>
      <w:spacing w:after="120" w:before="200"/>
      <w:outlineLvl w:val="2"/>
    </w:pPr>
    <w:rPr>
      <w:rFonts w:ascii="SimHei" w:cs="SimHei" w:eastAsia="SimHei" w:hAnsi="SimHei"/>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2026-06-03T07:53:11.452Z</dcterms:created>
  <dcterms:modified xsi:type="dcterms:W3CDTF">2026-06-03T07:53:11.453Z</dcterms:modified>
</cp:coreProperties>
</file>

<file path=docProps/custom.xml><?xml version="1.0" encoding="utf-8"?>
<Properties xmlns="http://schemas.openxmlformats.org/officeDocument/2006/custom-properties" xmlns:vt="http://schemas.openxmlformats.org/officeDocument/2006/docPropsVTypes"/>
</file>