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区域能源生产与流通数字监管平台建设方案</w:t>
      </w:r>
    </w:p>
    <w:p>
      <w:pPr>
        <w:pStyle w:val="Subtitle"/>
      </w:pPr>
      <w:r>
        <w:t xml:space="preserve">面向能源主管部门的 AIoT 监管解决方案</w:t>
      </w:r>
    </w:p>
    <w:p>
      <w:pPr>
        <w:pStyle w:val="Meta"/>
      </w:pPr>
      <w:r>
        <w:rPr>
          <w:b/>
        </w:rPr>
        <w:t xml:space="preserve">建议单位：</w:t>
      </w:r>
      <w:r>
        <w:t xml:space="preserve"> 广州通微智慧科技有限公司</w:t>
      </w:r>
    </w:p>
    <w:p>
      <w:pPr>
        <w:pStyle w:val="Meta"/>
      </w:pPr>
      <w:r>
        <w:rPr>
          <w:b/>
        </w:rPr>
        <w:t xml:space="preserve">适用范围：</w:t>
      </w:r>
      <w:r>
        <w:t xml:space="preserve"> 市、县（区）能源主管部门及其辖区能源企业</w:t>
      </w:r>
    </w:p>
    <w:p>
      <w:pPr>
        <w:pStyle w:val="Meta"/>
      </w:pPr>
      <w:r>
        <w:rPr>
          <w:b/>
        </w:rPr>
        <w:t xml:space="preserve">文档版本：</w:t>
      </w:r>
      <w:r>
        <w:t xml:space="preserve"> V1.0</w:t>
      </w:r>
    </w:p>
    <w:p>
      <w:pPr>
        <w:pStyle w:val="Meta"/>
      </w:pPr>
      <w:r>
        <w:rPr>
          <w:b/>
        </w:rPr>
        <w:t xml:space="preserve">编制日期：</w:t>
      </w:r>
      <w:r>
        <w:t xml:space="preserve"> 2026 年 7 月</w:t>
      </w:r>
    </w:p>
    <w:p>
      <w:pPr>
        <w:pStyle w:val="Meta"/>
      </w:pPr>
      <w:r>
        <w:rPr>
          <w:b/>
        </w:rPr>
        <w:t xml:space="preserve">项目名称建议：</w:t>
      </w:r>
      <w:r>
        <w:t xml:space="preserve"> [XX 市/县]能源生产与流通数字监管平台建设项目</w:t>
      </w:r>
    </w:p>
    <w:p>
      <w:pPr>
        <w:pStyle w:val="Normal"/>
      </w:pPr>
      <w:r>
        <w:br w:type="page"/>
      </w:r>
    </w:p>
    <w:p>
      <w:pPr>
        <w:pStyle w:val="TocTitle"/>
      </w:pPr>
      <w:r>
        <w:t xml:space="preserve">目录</w:t>
      </w:r>
    </w:p>
    <w:p>
      <w:pPr>
        <w:pStyle w:val="Toc2"/>
      </w:pPr>
      <w:r>
        <w:t xml:space="preserve">文档说明</w:t>
      </w:r>
    </w:p>
    <w:p>
      <w:pPr>
        <w:pStyle w:val="Toc1"/>
      </w:pPr>
      <w:r>
        <w:t xml:space="preserve">一、执行摘要</w:t>
      </w:r>
    </w:p>
    <w:p>
      <w:pPr>
        <w:pStyle w:val="Toc1"/>
      </w:pPr>
      <w:r>
        <w:t xml:space="preserve">二、需求理解与监管边界</w:t>
      </w:r>
    </w:p>
    <w:p>
      <w:pPr>
        <w:pStyle w:val="Toc2"/>
      </w:pPr>
      <w:r>
        <w:t xml:space="preserve">2.1 能源主管部门的核心需求</w:t>
      </w:r>
    </w:p>
    <w:p>
      <w:pPr>
        <w:pStyle w:val="Toc2"/>
      </w:pPr>
      <w:r>
        <w:t xml:space="preserve">2.2 监管对象分层</w:t>
      </w:r>
    </w:p>
    <w:p>
      <w:pPr>
        <w:pStyle w:val="Toc2"/>
      </w:pPr>
      <w:r>
        <w:t xml:space="preserve">2.3 “产量”与“外运量”的口径澄清</w:t>
      </w:r>
    </w:p>
    <w:p>
      <w:pPr>
        <w:pStyle w:val="Toc1"/>
      </w:pPr>
      <w:r>
        <w:t xml:space="preserve">三、政策与市场实践分析</w:t>
      </w:r>
    </w:p>
    <w:p>
      <w:pPr>
        <w:pStyle w:val="Toc2"/>
      </w:pPr>
      <w:r>
        <w:t xml:space="preserve">3.1 建设依据与合规参考</w:t>
      </w:r>
    </w:p>
    <w:p>
      <w:pPr>
        <w:pStyle w:val="Toc2"/>
      </w:pPr>
      <w:r>
        <w:t xml:space="preserve">3.2 市场上常见的四类做法</w:t>
      </w:r>
    </w:p>
    <w:p>
      <w:pPr>
        <w:pStyle w:val="Toc2"/>
      </w:pPr>
      <w:r>
        <w:t xml:space="preserve">3.3 本方案的差异化定位</w:t>
      </w:r>
    </w:p>
    <w:p>
      <w:pPr>
        <w:pStyle w:val="Toc1"/>
      </w:pPr>
      <w:r>
        <w:t xml:space="preserve">四、建设目标与总体指标</w:t>
      </w:r>
    </w:p>
    <w:p>
      <w:pPr>
        <w:pStyle w:val="Toc2"/>
      </w:pPr>
      <w:r>
        <w:t xml:space="preserve">4.1 总体目标</w:t>
      </w:r>
    </w:p>
    <w:p>
      <w:pPr>
        <w:pStyle w:val="Toc2"/>
      </w:pPr>
      <w:r>
        <w:t xml:space="preserve">4.2 建议试点验收指标</w:t>
      </w:r>
    </w:p>
    <w:p>
      <w:pPr>
        <w:pStyle w:val="Toc1"/>
      </w:pPr>
      <w:r>
        <w:t xml:space="preserve">五、总体业务与技术架构</w:t>
      </w:r>
    </w:p>
    <w:p>
      <w:pPr>
        <w:pStyle w:val="Toc2"/>
      </w:pPr>
      <w:r>
        <w:t xml:space="preserve">5.1 总体框架</w:t>
      </w:r>
    </w:p>
    <w:p>
      <w:pPr>
        <w:pStyle w:val="Toc2"/>
      </w:pPr>
      <w:r>
        <w:t xml:space="preserve">5.2 技术分层</w:t>
      </w:r>
    </w:p>
    <w:p>
      <w:pPr>
        <w:pStyle w:val="Toc2"/>
      </w:pPr>
      <w:r>
        <w:t xml:space="preserve">5.3 部署建议</w:t>
      </w:r>
    </w:p>
    <w:p>
      <w:pPr>
        <w:pStyle w:val="Toc1"/>
      </w:pPr>
      <w:r>
        <w:t xml:space="preserve">六、煤矿生产与车辆流通监管方案</w:t>
      </w:r>
    </w:p>
    <w:p>
      <w:pPr>
        <w:pStyle w:val="Toc2"/>
      </w:pPr>
      <w:r>
        <w:t xml:space="preserve">6.1 标准业务闭环</w:t>
      </w:r>
    </w:p>
    <w:p>
      <w:pPr>
        <w:pStyle w:val="Toc2"/>
      </w:pPr>
      <w:r>
        <w:t xml:space="preserve">6.2 防称重作弊设计</w:t>
      </w:r>
    </w:p>
    <w:p>
      <w:pPr>
        <w:pStyle w:val="Toc2"/>
      </w:pPr>
      <w:r>
        <w:t xml:space="preserve">6.3 物料平衡与“隐性外运”分析</w:t>
      </w:r>
    </w:p>
    <w:p>
      <w:pPr>
        <w:pStyle w:val="Toc2"/>
      </w:pPr>
      <w:r>
        <w:t xml:space="preserve">6.4 车辆和人员身份核验策略</w:t>
      </w:r>
    </w:p>
    <w:p>
      <w:pPr>
        <w:pStyle w:val="Toc2"/>
      </w:pPr>
      <w:r>
        <w:t xml:space="preserve">6.5 价格与体系外交易核验</w:t>
      </w:r>
    </w:p>
    <w:p>
      <w:pPr>
        <w:pStyle w:val="Toc1"/>
      </w:pPr>
      <w:r>
        <w:t xml:space="preserve">七、风电、光伏等新能源监管方案</w:t>
      </w:r>
    </w:p>
    <w:p>
      <w:pPr>
        <w:pStyle w:val="Toc2"/>
      </w:pPr>
      <w:r>
        <w:t xml:space="preserve">7.1 数据来源</w:t>
      </w:r>
    </w:p>
    <w:p>
      <w:pPr>
        <w:pStyle w:val="Toc2"/>
      </w:pPr>
      <w:r>
        <w:t xml:space="preserve">7.2 三账核验</w:t>
      </w:r>
    </w:p>
    <w:p>
      <w:pPr>
        <w:pStyle w:val="Toc2"/>
      </w:pPr>
      <w:r>
        <w:t xml:space="preserve">7.3 接入安全</w:t>
      </w:r>
    </w:p>
    <w:p>
      <w:pPr>
        <w:pStyle w:val="Toc1"/>
      </w:pPr>
      <w:r>
        <w:t xml:space="preserve">八、物联网感知与边缘建设</w:t>
      </w:r>
    </w:p>
    <w:p>
      <w:pPr>
        <w:pStyle w:val="Toc2"/>
      </w:pPr>
      <w:r>
        <w:t xml:space="preserve">8.1 煤矿单站建议配置</w:t>
      </w:r>
    </w:p>
    <w:p>
      <w:pPr>
        <w:pStyle w:val="Toc2"/>
      </w:pPr>
      <w:r>
        <w:t xml:space="preserve">8.2 通微产品与能力映射</w:t>
      </w:r>
    </w:p>
    <w:p>
      <w:pPr>
        <w:pStyle w:val="Toc2"/>
      </w:pPr>
      <w:r>
        <w:t xml:space="preserve">8.3 设备选型原则</w:t>
      </w:r>
    </w:p>
    <w:p>
      <w:pPr>
        <w:pStyle w:val="Toc1"/>
      </w:pPr>
      <w:r>
        <w:t xml:space="preserve">九、AI 分析体系</w:t>
      </w:r>
    </w:p>
    <w:p>
      <w:pPr>
        <w:pStyle w:val="Toc2"/>
      </w:pPr>
      <w:r>
        <w:t xml:space="preserve">9.1 技术路线</w:t>
      </w:r>
    </w:p>
    <w:p>
      <w:pPr>
        <w:pStyle w:val="Toc2"/>
      </w:pPr>
      <w:r>
        <w:t xml:space="preserve">9.2 风险评分示例</w:t>
      </w:r>
    </w:p>
    <w:p>
      <w:pPr>
        <w:pStyle w:val="Toc2"/>
      </w:pPr>
      <w:r>
        <w:t xml:space="preserve">9.3 AI 治理</w:t>
      </w:r>
    </w:p>
    <w:p>
      <w:pPr>
        <w:pStyle w:val="Toc1"/>
      </w:pPr>
      <w:r>
        <w:t xml:space="preserve">十、平台功能设计</w:t>
      </w:r>
    </w:p>
    <w:p>
      <w:pPr>
        <w:pStyle w:val="Toc2"/>
      </w:pPr>
      <w:r>
        <w:t xml:space="preserve">10.1 能源监管驾驶舱</w:t>
      </w:r>
    </w:p>
    <w:p>
      <w:pPr>
        <w:pStyle w:val="Toc2"/>
      </w:pPr>
      <w:r>
        <w:t xml:space="preserve">10.2 一企一档</w:t>
      </w:r>
    </w:p>
    <w:p>
      <w:pPr>
        <w:pStyle w:val="Toc2"/>
      </w:pPr>
      <w:r>
        <w:t xml:space="preserve">10.3 产量与物料平衡</w:t>
      </w:r>
    </w:p>
    <w:p>
      <w:pPr>
        <w:pStyle w:val="Toc2"/>
      </w:pPr>
      <w:r>
        <w:t xml:space="preserve">10.4 车辆全链监管</w:t>
      </w:r>
    </w:p>
    <w:p>
      <w:pPr>
        <w:pStyle w:val="Toc2"/>
      </w:pPr>
      <w:r>
        <w:t xml:space="preserve">10.5 预警与协同处置</w:t>
      </w:r>
    </w:p>
    <w:p>
      <w:pPr>
        <w:pStyle w:val="Toc2"/>
      </w:pPr>
      <w:r>
        <w:t xml:space="preserve">10.6 移动监管</w:t>
      </w:r>
    </w:p>
    <w:p>
      <w:pPr>
        <w:pStyle w:val="Toc2"/>
      </w:pPr>
      <w:r>
        <w:t xml:space="preserve">10.7 数据质量中心</w:t>
      </w:r>
    </w:p>
    <w:p>
      <w:pPr>
        <w:pStyle w:val="Toc1"/>
      </w:pPr>
      <w:r>
        <w:t xml:space="preserve">十一、数据、证据与安全体系</w:t>
      </w:r>
    </w:p>
    <w:p>
      <w:pPr>
        <w:pStyle w:val="Toc2"/>
      </w:pPr>
      <w:r>
        <w:t xml:space="preserve">11.1 核心数据模型</w:t>
      </w:r>
    </w:p>
    <w:p>
      <w:pPr>
        <w:pStyle w:val="Toc2"/>
      </w:pPr>
      <w:r>
        <w:t xml:space="preserve">11.2 可信数据和证据链</w:t>
      </w:r>
    </w:p>
    <w:p>
      <w:pPr>
        <w:pStyle w:val="Toc2"/>
      </w:pPr>
      <w:r>
        <w:t xml:space="preserve">11.3 网络与数据安全</w:t>
      </w:r>
    </w:p>
    <w:p>
      <w:pPr>
        <w:pStyle w:val="Toc2"/>
      </w:pPr>
      <w:r>
        <w:t xml:space="preserve">11.4 隐私与执法边界</w:t>
      </w:r>
    </w:p>
    <w:p>
      <w:pPr>
        <w:pStyle w:val="Toc1"/>
      </w:pPr>
      <w:r>
        <w:t xml:space="preserve">十二、系统接口与数据共享</w:t>
      </w:r>
    </w:p>
    <w:p>
      <w:pPr>
        <w:pStyle w:val="Toc2"/>
      </w:pPr>
      <w:r>
        <w:t xml:space="preserve">12.1 企业侧接口</w:t>
      </w:r>
    </w:p>
    <w:p>
      <w:pPr>
        <w:pStyle w:val="Toc2"/>
      </w:pPr>
      <w:r>
        <w:t xml:space="preserve">12.2 部门共享接口</w:t>
      </w:r>
    </w:p>
    <w:p>
      <w:pPr>
        <w:pStyle w:val="Toc1"/>
      </w:pPr>
      <w:r>
        <w:t xml:space="preserve">十三、项目实施路线</w:t>
      </w:r>
    </w:p>
    <w:p>
      <w:pPr>
        <w:pStyle w:val="Toc2"/>
      </w:pPr>
      <w:r>
        <w:t xml:space="preserve">13.1 第 0 阶段：立项与联合机制（2—3 周）</w:t>
      </w:r>
    </w:p>
    <w:p>
      <w:pPr>
        <w:pStyle w:val="Toc2"/>
      </w:pPr>
      <w:r>
        <w:t xml:space="preserve">13.2 第一阶段：现场调研与蓝图设计（3—4 周）</w:t>
      </w:r>
    </w:p>
    <w:p>
      <w:pPr>
        <w:pStyle w:val="Toc2"/>
      </w:pPr>
      <w:r>
        <w:t xml:space="preserve">13.3 第二阶段：试点建设（8—10 周）</w:t>
      </w:r>
    </w:p>
    <w:p>
      <w:pPr>
        <w:pStyle w:val="Toc2"/>
      </w:pPr>
      <w:r>
        <w:t xml:space="preserve">13.4 第三阶段：试运行与验收（4 周）</w:t>
      </w:r>
    </w:p>
    <w:p>
      <w:pPr>
        <w:pStyle w:val="Toc2"/>
      </w:pPr>
      <w:r>
        <w:t xml:space="preserve">13.5 第四阶段：全域推广（3—12 个月）</w:t>
      </w:r>
    </w:p>
    <w:p>
      <w:pPr>
        <w:pStyle w:val="Toc2"/>
      </w:pPr>
      <w:r>
        <w:t xml:space="preserve">13.6 试点选点原则</w:t>
      </w:r>
    </w:p>
    <w:p>
      <w:pPr>
        <w:pStyle w:val="Toc1"/>
      </w:pPr>
      <w:r>
        <w:t xml:space="preserve">十四、投资估算与建设模式</w:t>
      </w:r>
    </w:p>
    <w:p>
      <w:pPr>
        <w:pStyle w:val="Toc2"/>
      </w:pPr>
      <w:r>
        <w:t xml:space="preserve">14.1 试点预算建议</w:t>
      </w:r>
    </w:p>
    <w:p>
      <w:pPr>
        <w:pStyle w:val="Toc2"/>
      </w:pPr>
      <w:r>
        <w:t xml:space="preserve">14.2 单站分级模板</w:t>
      </w:r>
    </w:p>
    <w:p>
      <w:pPr>
        <w:pStyle w:val="Toc2"/>
      </w:pPr>
      <w:r>
        <w:t xml:space="preserve">14.3 建设与付费模式</w:t>
      </w:r>
    </w:p>
    <w:p>
      <w:pPr>
        <w:pStyle w:val="Toc1"/>
      </w:pPr>
      <w:r>
        <w:t xml:space="preserve">十五、组织、运营与责任机制</w:t>
      </w:r>
    </w:p>
    <w:p>
      <w:pPr>
        <w:pStyle w:val="Toc2"/>
      </w:pPr>
      <w:r>
        <w:t xml:space="preserve">15.1 建议组织</w:t>
      </w:r>
    </w:p>
    <w:p>
      <w:pPr>
        <w:pStyle w:val="Toc2"/>
      </w:pPr>
      <w:r>
        <w:t xml:space="preserve">15.2 数据责任原则</w:t>
      </w:r>
    </w:p>
    <w:p>
      <w:pPr>
        <w:pStyle w:val="Toc2"/>
      </w:pPr>
      <w:r>
        <w:t xml:space="preserve">15.3 持续运营内容</w:t>
      </w:r>
    </w:p>
    <w:p>
      <w:pPr>
        <w:pStyle w:val="Toc1"/>
      </w:pPr>
      <w:r>
        <w:t xml:space="preserve">十六、预期成效与评估方法</w:t>
      </w:r>
    </w:p>
    <w:p>
      <w:pPr>
        <w:pStyle w:val="Toc2"/>
      </w:pPr>
      <w:r>
        <w:t xml:space="preserve">16.1 监管成效</w:t>
      </w:r>
    </w:p>
    <w:p>
      <w:pPr>
        <w:pStyle w:val="Toc2"/>
      </w:pPr>
      <w:r>
        <w:t xml:space="preserve">16.2 企业成效</w:t>
      </w:r>
    </w:p>
    <w:p>
      <w:pPr>
        <w:pStyle w:val="Toc2"/>
      </w:pPr>
      <w:r>
        <w:t xml:space="preserve">16.3 成效不预设虚假比例</w:t>
      </w:r>
    </w:p>
    <w:p>
      <w:pPr>
        <w:pStyle w:val="Toc1"/>
      </w:pPr>
      <w:r>
        <w:t xml:space="preserve">十七、面向能源局的推广策略</w:t>
      </w:r>
    </w:p>
    <w:p>
      <w:pPr>
        <w:pStyle w:val="Toc2"/>
      </w:pPr>
      <w:r>
        <w:t xml:space="preserve">17.1 核心表达</w:t>
      </w:r>
    </w:p>
    <w:p>
      <w:pPr>
        <w:pStyle w:val="Toc2"/>
      </w:pPr>
      <w:r>
        <w:t xml:space="preserve">17.2 面向不同对象的价值表达</w:t>
      </w:r>
    </w:p>
    <w:p>
      <w:pPr>
        <w:pStyle w:val="Toc2"/>
      </w:pPr>
      <w:r>
        <w:t xml:space="preserve">17.3 推荐推进动作</w:t>
      </w:r>
    </w:p>
    <w:p>
      <w:pPr>
        <w:pStyle w:val="Toc2"/>
      </w:pPr>
      <w:r>
        <w:t xml:space="preserve">17.4 首次汇报建议议程（45 分钟）</w:t>
      </w:r>
    </w:p>
    <w:p>
      <w:pPr>
        <w:pStyle w:val="Toc2"/>
      </w:pPr>
      <w:r>
        <w:t xml:space="preserve">17.5 通微的项目定位</w:t>
      </w:r>
    </w:p>
    <w:p>
      <w:pPr>
        <w:pStyle w:val="Toc1"/>
      </w:pPr>
      <w:r>
        <w:t xml:space="preserve">十八、主要风险与应对</w:t>
      </w:r>
    </w:p>
    <w:p>
      <w:pPr>
        <w:pStyle w:val="Toc1"/>
      </w:pPr>
      <w:r>
        <w:t xml:space="preserve">十九、建议立项范围</w:t>
      </w:r>
    </w:p>
    <w:p>
      <w:pPr>
        <w:pStyle w:val="Toc2"/>
      </w:pPr>
      <w:r>
        <w:t xml:space="preserve">19.1 一期试点“必须做”</w:t>
      </w:r>
    </w:p>
    <w:p>
      <w:pPr>
        <w:pStyle w:val="Toc2"/>
      </w:pPr>
      <w:r>
        <w:t xml:space="preserve">19.2 一期试点“暂不做”</w:t>
      </w:r>
    </w:p>
    <w:p>
      <w:pPr>
        <w:pStyle w:val="Toc1"/>
      </w:pPr>
      <w:r>
        <w:t xml:space="preserve">附录 A：煤矿现场调研清单</w:t>
      </w:r>
    </w:p>
    <w:p>
      <w:pPr>
        <w:pStyle w:val="Toc2"/>
      </w:pPr>
      <w:r>
        <w:t xml:space="preserve">A.1 基本信息</w:t>
      </w:r>
    </w:p>
    <w:p>
      <w:pPr>
        <w:pStyle w:val="Toc2"/>
      </w:pPr>
      <w:r>
        <w:t xml:space="preserve">A.2 地磅与计量</w:t>
      </w:r>
    </w:p>
    <w:p>
      <w:pPr>
        <w:pStyle w:val="Toc2"/>
      </w:pPr>
      <w:r>
        <w:t xml:space="preserve">A.3 车辆、通道与视频</w:t>
      </w:r>
    </w:p>
    <w:p>
      <w:pPr>
        <w:pStyle w:val="Toc2"/>
      </w:pPr>
      <w:r>
        <w:t xml:space="preserve">A.4 信息化与安全</w:t>
      </w:r>
    </w:p>
    <w:p>
      <w:pPr>
        <w:pStyle w:val="Toc1"/>
      </w:pPr>
      <w:r>
        <w:t xml:space="preserve">附录 B：首批预警规则建议</w:t>
      </w:r>
    </w:p>
    <w:p>
      <w:pPr>
        <w:pStyle w:val="Toc1"/>
      </w:pPr>
      <w:r>
        <w:t xml:space="preserve">附录 C：试点验收场景</w:t>
      </w:r>
    </w:p>
    <w:p>
      <w:pPr>
        <w:pStyle w:val="Toc1"/>
      </w:pPr>
      <w:r>
        <w:t xml:space="preserve">附录 D：领导汇报一页纸</w:t>
      </w:r>
    </w:p>
    <w:p>
      <w:pPr>
        <w:pStyle w:val="Toc2"/>
      </w:pPr>
      <w:r>
        <w:t xml:space="preserve">项目要解决什么</w:t>
      </w:r>
    </w:p>
    <w:p>
      <w:pPr>
        <w:pStyle w:val="Toc2"/>
      </w:pPr>
      <w:r>
        <w:t xml:space="preserve">怎么建设</w:t>
      </w:r>
    </w:p>
    <w:p>
      <w:pPr>
        <w:pStyle w:val="Toc2"/>
      </w:pPr>
      <w:r>
        <w:t xml:space="preserve">有什么不同</w:t>
      </w:r>
    </w:p>
    <w:p>
      <w:pPr>
        <w:pStyle w:val="Toc2"/>
      </w:pPr>
      <w:r>
        <w:t xml:space="preserve">怎么试点</w:t>
      </w:r>
    </w:p>
    <w:p>
      <w:pPr>
        <w:pStyle w:val="Toc2"/>
      </w:pPr>
      <w:r>
        <w:t xml:space="preserve">最终形成什么</w:t>
      </w:r>
    </w:p>
    <w:p>
      <w:pPr>
        <w:pStyle w:val="Toc1"/>
      </w:pPr>
      <w:r>
        <w:t xml:space="preserve">附录 E：下一步需能源局确认的事项</w:t>
      </w:r>
    </w:p>
    <w:p>
      <w:pPr>
        <w:pStyle w:val="Toc1"/>
      </w:pPr>
      <w:r>
        <w:t xml:space="preserve">参考资料与编制依据说明</w:t>
      </w:r>
    </w:p>
    <w:p>
      <w:pPr>
        <w:pStyle w:val="Normal"/>
      </w:pPr>
      <w:r>
        <w:br w:type="page"/>
      </w:r>
    </w:p>
    <w:p>
      <w:pPr>
        <w:pStyle w:val="Heading2"/>
      </w:pPr>
      <w:r>
        <w:t xml:space="preserve">文档说明</w:t>
      </w:r>
    </w:p>
    <w:p>
      <w:pPr>
        <w:pStyle w:val="Normal"/>
      </w:pPr>
      <w:r>
        <w:t xml:space="preserve">本方案用于能源主管部门立项交流、需求调研、试点论证和初步预算，不替代可行性研究报告、初步设计、招标参数、计量检定报告、网络安全定级备案或行政执法依据。</w:t>
      </w:r>
    </w:p>
    <w:p>
      <w:pPr>
        <w:pStyle w:val="Normal"/>
      </w:pPr>
      <w:r>
        <w:t xml:space="preserve">方案遵循三个边界：</w:t>
      </w:r>
    </w:p>
    <w:p>
      <w:pPr>
        <w:pStyle w:val="ListNumber"/>
      </w:pPr>
      <w:r>
        <w:t xml:space="preserve">1.  平台形成的是监管线索、统计核验和协同处置能力，行政处罚结论必须由有权部门依照法定程序作出。</w:t>
      </w:r>
    </w:p>
    <w:p>
      <w:pPr>
        <w:pStyle w:val="ListNumber"/>
      </w:pPr>
      <w:r>
        <w:t xml:space="preserve">2.  煤矿车辆出库净重主要反映商品煤外运/销售量，不能单独等同于原煤产量；应与申报产量、库存、洗选转换、内部消耗及外购调入量进行物料平衡核验。</w:t>
      </w:r>
    </w:p>
    <w:p>
      <w:pPr>
        <w:pStyle w:val="ListNumber"/>
      </w:pPr>
      <w:r>
        <w:t xml:space="preserve">3.  人员、车辆、轨迹和视频数据按“最小必要”原则采集。默认采用车牌、企业车辆档案、员工卡/移动端实名账号等方式核验身份；确需采用人脸等生物识别技术时，应先完成必要性论证、个人信息保护影响评估和授权审批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一、执行摘要</w:t>
      </w:r>
    </w:p>
    <w:p>
      <w:pPr>
        <w:pStyle w:val="Normal"/>
      </w:pPr>
      <w:r>
        <w:t xml:space="preserve">能源主管部门对辖区煤矿、选煤厂、储煤场、风电场、光伏电站及其他能源企业，普遍面临“企业报数多、现场直采少，结果统计多、过程监管少，单点系统多、跨源核验少，发现异常后闭环处置难”等问题。</w:t>
      </w:r>
    </w:p>
    <w:p>
      <w:pPr>
        <w:pStyle w:val="Normal"/>
      </w:pPr>
      <w:r>
        <w:t xml:space="preserve">本方案建议建设“区域能源生产与流通数字监管平台”，以企业依法申报为基础，以现场计量和业务数据为核心，以车辆、视频、轨迹、库存、结算等多源数据交叉核验为手段，以 AI 异常识别和协同处置闭环为增强，形成“一企一档、一站一图、一车一链、一数一源、一事一闭环”的数字监管体系。</w:t>
      </w:r>
    </w:p>
    <w:p>
      <w:pPr>
        <w:pStyle w:val="Normal"/>
      </w:pPr>
      <w:r>
        <w:t xml:space="preserve">煤炭场景围绕“进场—空车称重—装载—重车称重—出场—运输—到达/核销”建立可信链路，重点发现：</w:t>
      </w:r>
    </w:p>
    <w:p>
      <w:pPr>
        <w:pStyle w:val="ListBullet"/>
      </w:pPr>
      <w:r>
        <w:t xml:space="preserve">•  未登记车辆装运、车牌/RFID/驾驶员身份不一致；</w:t>
      </w:r>
    </w:p>
    <w:p>
      <w:pPr>
        <w:pStyle w:val="ListBullet"/>
      </w:pPr>
      <w:r>
        <w:t xml:space="preserve">•  重复过磅、虚假皮重、车辆未完全上磅、前后车跟磅、仪表数据被人工修改；</w:t>
      </w:r>
    </w:p>
    <w:p>
      <w:pPr>
        <w:pStyle w:val="ListBullet"/>
      </w:pPr>
      <w:r>
        <w:t xml:space="preserve">•  车辆绕开监管通道、夜间异常装运、短时高频运输、路线偏离或中途异常停留；</w:t>
      </w:r>
    </w:p>
    <w:p>
      <w:pPr>
        <w:pStyle w:val="ListBullet"/>
      </w:pPr>
      <w:r>
        <w:t xml:space="preserve">•  出库量、申报产量、库存变化、洗选产率、销售结算之间长期不平衡；</w:t>
      </w:r>
    </w:p>
    <w:p>
      <w:pPr>
        <w:pStyle w:val="ListBullet"/>
      </w:pPr>
      <w:r>
        <w:t xml:space="preserve">•  计量设备离线、标定异常、视频缺失、时间不同步等数据可信度问题。</w:t>
      </w:r>
    </w:p>
    <w:p>
      <w:pPr>
        <w:pStyle w:val="Normal"/>
      </w:pPr>
      <w:r>
        <w:t xml:space="preserve">风电、光伏等场站不采用“车辆称重”逻辑，而以关口电能表、场站 SCADA、调度侧数据、市场交易/结算数据进行多源核验，重点发现发电量申报异常、表计与 SCADA 偏差、限电损失口径不一致、异常停机和结算偏差。</w:t>
      </w:r>
    </w:p>
    <w:p>
      <w:pPr>
        <w:pStyle w:val="Normal"/>
      </w:pPr>
      <w:r>
        <w:t xml:space="preserve">建议先选择 </w:t>
      </w:r>
      <w:r>
        <w:rPr>
          <w:b/>
        </w:rPr>
        <w:t xml:space="preserve">3 家煤矿（不同规模和联网基础）+ 2 家新能源场站 + 1 个能源局监管中心</w:t>
      </w:r>
      <w:r>
        <w:t xml:space="preserve"> 开展试点。项目启动至初验约 4—5 个月，其中现场建设、联调和试运行约 120 天。试点先打通可信数据和处置闭环，再扩展到全辖区，避免一期追求“大而全”。</w:t>
      </w:r>
    </w:p>
    <w:p>
      <w:pPr>
        <w:pStyle w:val="Normal"/>
      </w:pPr>
      <w:r>
        <w:t xml:space="preserve">本项目不是单纯的大屏工程，其交付核心是：</w:t>
      </w:r>
    </w:p>
    <w:p>
      <w:pPr>
        <w:pStyle w:val="Quote"/>
      </w:pPr>
      <w:r>
        <w:t xml:space="preserve">可信现场数据 + 多源交叉核验 + 异常主动发现 + 证据留痕 + 部门协同闭环。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二、需求理解与监管边界</w:t>
      </w:r>
    </w:p>
    <w:p>
      <w:pPr>
        <w:pStyle w:val="Heading2"/>
      </w:pPr>
      <w:r>
        <w:t xml:space="preserve">2.1 能源主管部门的核心需求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监管问题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当前常见困难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建设后的能力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辖区企业实际生产多少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依赖企业月报，时效性和可核验性不足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日/班次级产量核验、物料平衡和趋势分析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实际外运多少、运给谁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地磅、销售、车辆和视频数据分散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每车净重、货种、货主、承运方、去向全链关联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是否存在体系外偷运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线下巡查覆盖有限，异常行为隐蔽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绕行、无单出场、身份不一致、异常轨迹和量价偏差预警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企业报送数据是否可信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单一数据源易被修改，缺少互证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计量、视频、车辆、库存、结算等多源交叉核验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异常发现后如何处置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告警、核查、整改和执法记录不连贯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告警分级、人工复核、企业说明、派单、整改、销号闭环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如何兼顾企业生产安全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监管采集可能误触生产控制系统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只读接入、网络隔离、边缘缓存，不默认反向控制生产系统</w:t>
            </w:r>
          </w:p>
        </w:tc>
      </w:tr>
    </w:tbl>
    <w:p>
      <w:pPr>
        <w:pStyle w:val="Heading2"/>
      </w:pPr>
      <w:r>
        <w:t xml:space="preserve">2.2 监管对象分层</w:t>
      </w:r>
    </w:p>
    <w:p>
      <w:pPr>
        <w:pStyle w:val="Heading3"/>
      </w:pPr>
      <w:r>
        <w:t xml:space="preserve">第一优先级：煤炭生产与流通</w:t>
      </w:r>
    </w:p>
    <w:p>
      <w:pPr>
        <w:pStyle w:val="ListBullet"/>
      </w:pPr>
      <w:r>
        <w:t xml:space="preserve">•  煤矿主井/副井产量计量、原煤仓、选煤环节；</w:t>
      </w:r>
    </w:p>
    <w:p>
      <w:pPr>
        <w:pStyle w:val="ListBullet"/>
      </w:pPr>
      <w:r>
        <w:t xml:space="preserve">•  商品煤装车点、地磅房、出入口、备用道路；</w:t>
      </w:r>
    </w:p>
    <w:p>
      <w:pPr>
        <w:pStyle w:val="ListBullet"/>
      </w:pPr>
      <w:r>
        <w:t xml:space="preserve">•  选煤厂、储煤场、煤炭集运站；</w:t>
      </w:r>
    </w:p>
    <w:p>
      <w:pPr>
        <w:pStyle w:val="ListBullet"/>
      </w:pPr>
      <w:r>
        <w:t xml:space="preserve">•  承运企业、运输车辆及收货单位；</w:t>
      </w:r>
    </w:p>
    <w:p>
      <w:pPr>
        <w:pStyle w:val="ListBullet"/>
      </w:pPr>
      <w:r>
        <w:t xml:space="preserve">•  企业产量日报、销售订单、运输单、库存和结算数据。</w:t>
      </w:r>
    </w:p>
    <w:p>
      <w:pPr>
        <w:pStyle w:val="Heading3"/>
      </w:pPr>
      <w:r>
        <w:t xml:space="preserve">第二优先级：新能源生产</w:t>
      </w:r>
    </w:p>
    <w:p>
      <w:pPr>
        <w:pStyle w:val="ListBullet"/>
      </w:pPr>
      <w:r>
        <w:t xml:space="preserve">•  风电场、光伏电站的关口表、集电线路、逆变器/风机、升压站；</w:t>
      </w:r>
    </w:p>
    <w:p>
      <w:pPr>
        <w:pStyle w:val="ListBullet"/>
      </w:pPr>
      <w:r>
        <w:t xml:space="preserve">•  场站 SCADA、功率预测、调度指令、市场交易和结算数据；</w:t>
      </w:r>
    </w:p>
    <w:p>
      <w:pPr>
        <w:pStyle w:val="ListBullet"/>
      </w:pPr>
      <w:r>
        <w:t xml:space="preserve">•  可利用率、限电、故障停机和并网运行情况。</w:t>
      </w:r>
    </w:p>
    <w:p>
      <w:pPr>
        <w:pStyle w:val="Heading3"/>
      </w:pPr>
      <w:r>
        <w:t xml:space="preserve">第三优先级：扩展能源场景</w:t>
      </w:r>
    </w:p>
    <w:p>
      <w:pPr>
        <w:pStyle w:val="ListBullet"/>
      </w:pPr>
      <w:r>
        <w:t xml:space="preserve">•  油气生产、储运和加注：流量计、液位计、槽车、电子铅封、管输平衡；</w:t>
      </w:r>
    </w:p>
    <w:p>
      <w:pPr>
        <w:pStyle w:val="ListBullet"/>
      </w:pPr>
      <w:r>
        <w:t xml:space="preserve">•  生物质、煤矸石等固体燃料：车辆称重、库存和去向核验；</w:t>
      </w:r>
    </w:p>
    <w:p>
      <w:pPr>
        <w:pStyle w:val="ListBullet"/>
      </w:pPr>
      <w:r>
        <w:t xml:space="preserve">•  储能电站：充放电量、SOC、调度执行和结算核验；</w:t>
      </w:r>
    </w:p>
    <w:p>
      <w:pPr>
        <w:pStyle w:val="ListBullet"/>
      </w:pPr>
      <w:r>
        <w:t xml:space="preserve">•  重点用能企业：电、气、热等分项计量和异常能耗分析。</w:t>
      </w:r>
    </w:p>
    <w:p>
      <w:pPr>
        <w:pStyle w:val="Heading2"/>
      </w:pPr>
      <w:r>
        <w:t xml:space="preserve">2.3 “产量”与“外运量”的口径澄清</w:t>
      </w:r>
    </w:p>
    <w:p>
      <w:pPr>
        <w:pStyle w:val="Normal"/>
      </w:pPr>
      <w:r>
        <w:t xml:space="preserve">车辆地磅可以准确形成单车外运净重，但煤矿生产监管应采用多账户核验。</w:t>
      </w:r>
    </w:p>
    <w:p>
      <w:pPr>
        <w:pStyle w:val="Normal"/>
      </w:pPr>
      <w:r>
        <w:rPr>
          <w:b/>
        </w:rPr>
        <w:t xml:space="preserve">单车净重：</w:t>
      </w:r>
    </w:p>
    <w:p>
      <w:pPr>
        <w:pStyle w:val="Normal"/>
      </w:pPr>
      <w:r>
        <w:rPr>
          <w:rFonts w:ascii="Menlo" w:hAnsi="Menlo" w:eastAsia="Microsoft YaHei"/>
          <w:shd w:val="clear" w:color="auto" w:fill="EDF3F2"/>
          <w:color w:val="204D52"/>
        </w:rPr>
        <w:t xml:space="preserve">单车净重 = 重车重量 - 空车皮重</w:t>
      </w:r>
    </w:p>
    <w:p>
      <w:pPr>
        <w:pStyle w:val="Normal"/>
      </w:pPr>
      <w:r>
        <w:rPr>
          <w:b/>
        </w:rPr>
        <w:t xml:space="preserve">监管估算产量（简化口径）：</w:t>
      </w:r>
    </w:p>
    <w:p>
      <w:pPr>
        <w:pStyle w:val="Normal"/>
      </w:pPr>
      <w:r>
        <w:rPr>
          <w:rFonts w:ascii="Menlo" w:hAnsi="Menlo" w:eastAsia="Microsoft YaHei"/>
          <w:shd w:val="clear" w:color="auto" w:fill="EDF3F2"/>
          <w:color w:val="204D52"/>
        </w:rPr>
        <w:t xml:space="preserve">估算产量 = 对外净出库量 + 期末库存 - 期初库存 + 内部消耗 + 合理损耗 - 外购/调入量</w:t>
      </w:r>
    </w:p>
    <w:p>
      <w:pPr>
        <w:pStyle w:val="Normal"/>
      </w:pPr>
      <w:r>
        <w:t xml:space="preserve">涉及洗选加工时，还应分别建立原煤、入洗煤和商品煤账户，纳入洗选产率、副产品及矸石去向。各企业应在调研期确认计量点位和业务口径，平台不得用一个通用公式直接替代企业法定统计口径。</w:t>
      </w:r>
    </w:p>
    <w:p>
      <w:pPr>
        <w:pStyle w:val="Normal"/>
      </w:pPr>
      <w:r>
        <w:t xml:space="preserve">平台输出三个并列指标：</w:t>
      </w:r>
    </w:p>
    <w:p>
      <w:pPr>
        <w:pStyle w:val="ListBullet"/>
      </w:pPr>
      <w:r>
        <w:t xml:space="preserve">•  </w:t>
      </w:r>
      <w:r>
        <w:rPr>
          <w:b/>
        </w:rPr>
        <w:t xml:space="preserve">企业申报产量：</w:t>
      </w:r>
      <w:r>
        <w:t xml:space="preserve"> 企业依法报送的正式数据；</w:t>
      </w:r>
    </w:p>
    <w:p>
      <w:pPr>
        <w:pStyle w:val="ListBullet"/>
      </w:pPr>
      <w:r>
        <w:t xml:space="preserve">•  </w:t>
      </w:r>
      <w:r>
        <w:rPr>
          <w:b/>
        </w:rPr>
        <w:t xml:space="preserve">现场核验量：</w:t>
      </w:r>
      <w:r>
        <w:t xml:space="preserve"> 根据计量、出入库和库存形成的监管计算结果；</w:t>
      </w:r>
    </w:p>
    <w:p>
      <w:pPr>
        <w:pStyle w:val="ListBullet"/>
      </w:pPr>
      <w:r>
        <w:t xml:space="preserve">•  </w:t>
      </w:r>
      <w:r>
        <w:rPr>
          <w:b/>
        </w:rPr>
        <w:t xml:space="preserve">偏差与可信度：</w:t>
      </w:r>
      <w:r>
        <w:t xml:space="preserve"> 两者差值、偏差率及数据完整性评分。</w:t>
      </w:r>
    </w:p>
    <w:p>
      <w:pPr>
        <w:pStyle w:val="Normal"/>
      </w:pPr>
      <w:r>
        <w:t xml:space="preserve">这既避免“把出库量当产量”的业务错误，也便于监管人员找到需要进一步核查的企业和时段。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三、政策与市场实践分析</w:t>
      </w:r>
    </w:p>
    <w:p>
      <w:pPr>
        <w:pStyle w:val="Heading2"/>
      </w:pPr>
      <w:r>
        <w:t xml:space="preserve">3.1 建设依据与合规参考</w:t>
      </w:r>
    </w:p>
    <w:p>
      <w:pPr>
        <w:pStyle w:val="Normal"/>
      </w:pPr>
      <w:r>
        <w:t xml:space="preserve">项目设计阶段应结合属地最新规定，由能源局法制、数据、网信和相关执法部门复核。建议重点参考：</w:t>
      </w:r>
    </w:p>
    <w:p>
      <w:pPr>
        <w:pStyle w:val="ListBullet"/>
      </w:pPr>
      <w:r>
        <w:t xml:space="preserve">•  《中华人民共和国能源法》；</w:t>
      </w:r>
    </w:p>
    <w:p>
      <w:pPr>
        <w:pStyle w:val="ListBullet"/>
      </w:pPr>
      <w:r>
        <w:t xml:space="preserve">•  《中华人民共和国煤炭法》；</w:t>
      </w:r>
    </w:p>
    <w:p>
      <w:pPr>
        <w:pStyle w:val="ListBullet"/>
      </w:pPr>
      <w:r>
        <w:t xml:space="preserve">•  《中华人民共和国计量法》及计量器具检定相关规定；</w:t>
      </w:r>
    </w:p>
    <w:p>
      <w:pPr>
        <w:pStyle w:val="ListBullet"/>
      </w:pPr>
      <w:r>
        <w:t xml:space="preserve">•  《煤矿安全生产条例》；</w:t>
      </w:r>
    </w:p>
    <w:p>
      <w:pPr>
        <w:pStyle w:val="ListBullet"/>
      </w:pPr>
      <w:r>
        <w:t xml:space="preserve">•  《中华人民共和国网络安全法》；</w:t>
      </w:r>
    </w:p>
    <w:p>
      <w:pPr>
        <w:pStyle w:val="ListBullet"/>
      </w:pPr>
      <w:r>
        <w:t xml:space="preserve">•  《中华人民共和国数据安全法》；</w:t>
      </w:r>
    </w:p>
    <w:p>
      <w:pPr>
        <w:pStyle w:val="ListBullet"/>
      </w:pPr>
      <w:r>
        <w:t xml:space="preserve">•  《中华人民共和国个人信息保护法》；</w:t>
      </w:r>
    </w:p>
    <w:p>
      <w:pPr>
        <w:pStyle w:val="ListBullet"/>
      </w:pPr>
      <w:r>
        <w:t xml:space="preserve">•  《中华人民共和国行政处罚法》；</w:t>
      </w:r>
    </w:p>
    <w:p>
      <w:pPr>
        <w:pStyle w:val="ListBullet"/>
      </w:pPr>
      <w:r>
        <w:t xml:space="preserve">•  《关于加快煤矿智能化发展的指导意见》（发改能源科技〔2020〕283 号）；</w:t>
      </w:r>
    </w:p>
    <w:p>
      <w:pPr>
        <w:pStyle w:val="ListBullet"/>
      </w:pPr>
      <w:r>
        <w:t xml:space="preserve">•  国家及属地关于煤矿智能化、能源统计、超限超载治理、道路运输、视频联网和政务数据共享的现行规定；</w:t>
      </w:r>
    </w:p>
    <w:p>
      <w:pPr>
        <w:pStyle w:val="ListBullet"/>
      </w:pPr>
      <w:r>
        <w:t xml:space="preserve">•  GB/T 28181 公共安全视频监控联网系统相关标准、网络安全等级保护 2.0 相关标准，以及项目适用的工业控制安全和数据接口规范。</w:t>
      </w:r>
    </w:p>
    <w:p>
      <w:pPr>
        <w:pStyle w:val="Normal"/>
      </w:pPr>
      <w:r>
        <w:t xml:space="preserve">合规原则如下：</w:t>
      </w:r>
    </w:p>
    <w:p>
      <w:pPr>
        <w:pStyle w:val="ListNumber"/>
      </w:pPr>
      <w:r>
        <w:t xml:space="preserve">1.  能源局只采集履职所需数据，跨部门数据通过合法共享机制获取。</w:t>
      </w:r>
    </w:p>
    <w:p>
      <w:pPr>
        <w:pStyle w:val="ListNumber"/>
      </w:pPr>
      <w:r>
        <w:t xml:space="preserve">2.  地磅、关口电能表等法定计量数据以经检定/校准合格的设备为准，平台不得替代计量器具，也不得修改原始读数。</w:t>
      </w:r>
    </w:p>
    <w:p>
      <w:pPr>
        <w:pStyle w:val="ListNumber"/>
      </w:pPr>
      <w:r>
        <w:t xml:space="preserve">3.  AI 告警属于风险线索。转为执法证据前应完成设备状态核验、人工复核、来源说明和程序审查。</w:t>
      </w:r>
    </w:p>
    <w:p>
      <w:pPr>
        <w:pStyle w:val="ListNumber"/>
      </w:pPr>
      <w:r>
        <w:t xml:space="preserve">4.  生产控制网与监管采集网分区隔离，默认只读。任何联动控制均需企业安全评估和书面授权。</w:t>
      </w:r>
    </w:p>
    <w:p>
      <w:pPr>
        <w:pStyle w:val="Heading2"/>
      </w:pPr>
      <w:r>
        <w:t xml:space="preserve">3.2 市场上常见的四类做法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2325"/>
        <w:gridCol w:w="2325"/>
        <w:gridCol w:w="2325"/>
        <w:gridCol w:w="2325"/>
      </w:tblGrid>
      <w:tr>
        <w:trPr>
          <w:cantSplit/>
          <w:tblHeader/>
        </w:trPr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常见建设模式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主要能力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优点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常见不足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无人值守称重系统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车牌/RFID、红绿灯、道闸、地磅、抓拍、打印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单点成熟，能降低人工操作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往往局限于厂内，难核验产量、库存、去向和跨企业运输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车辆动态监管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北斗/GNSS、电子运单、围栏、轨迹回放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能发现偏航、停留和异常路线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与称重、货种、订单脱节时，只知道“车在哪里”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智能矿山/企业生产平台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产量、设备、视频、经营管理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企业生产数据丰富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以企业运营为中心，监管侧标准不一、接口不统一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区域大数据监管平台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企业档案、报表、大屏、统计分析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适合全域统筹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若没有边缘直采和质量治理，容易成为“企业换一种方式填报”</w:t>
            </w:r>
          </w:p>
        </w:tc>
      </w:tr>
    </w:tbl>
    <w:p>
      <w:pPr>
        <w:pStyle w:val="Normal"/>
      </w:pPr>
      <w:r>
        <w:t xml:space="preserve">成熟的建设方向不是替换上述系统，而是通过统一标准和边缘接入把它们连接起来，补齐“现场直采—跨源核验—异常研判—闭环处置”四个环节。</w:t>
      </w:r>
    </w:p>
    <w:p>
      <w:pPr>
        <w:pStyle w:val="Heading2"/>
      </w:pPr>
      <w:r>
        <w:t xml:space="preserve">3.3 本方案的差异化定位</w:t>
      </w:r>
    </w:p>
    <w:p>
      <w:pPr>
        <w:pStyle w:val="ListBullet"/>
      </w:pPr>
      <w:r>
        <w:t xml:space="preserve">•  </w:t>
      </w:r>
      <w:r>
        <w:rPr>
          <w:b/>
        </w:rPr>
        <w:t xml:space="preserve">不推倒重建：</w:t>
      </w:r>
      <w:r>
        <w:t xml:space="preserve"> 已有地磅、摄像机、门禁、SCADA、ERP 能接尽接；缺口点位再补建。</w:t>
      </w:r>
    </w:p>
    <w:p>
      <w:pPr>
        <w:pStyle w:val="ListBullet"/>
      </w:pPr>
      <w:r>
        <w:t xml:space="preserve">•  </w:t>
      </w:r>
      <w:r>
        <w:rPr>
          <w:b/>
        </w:rPr>
        <w:t xml:space="preserve">不只看一张表：</w:t>
      </w:r>
      <w:r>
        <w:t xml:space="preserve"> 计量、车辆、视频、轨迹、库存、订单和结算互相校验。</w:t>
      </w:r>
    </w:p>
    <w:p>
      <w:pPr>
        <w:pStyle w:val="ListBullet"/>
      </w:pPr>
      <w:r>
        <w:t xml:space="preserve">•  </w:t>
      </w:r>
      <w:r>
        <w:rPr>
          <w:b/>
        </w:rPr>
        <w:t xml:space="preserve">不让 AI 直接执法：</w:t>
      </w:r>
      <w:r>
        <w:t xml:space="preserve"> 算法筛查、人员复核、部门处置、结果反馈全程留痕。</w:t>
      </w:r>
    </w:p>
    <w:p>
      <w:pPr>
        <w:pStyle w:val="ListBullet"/>
      </w:pPr>
      <w:r>
        <w:t xml:space="preserve">•  </w:t>
      </w:r>
      <w:r>
        <w:rPr>
          <w:b/>
        </w:rPr>
        <w:t xml:space="preserve">不碰生产控制红线：</w:t>
      </w:r>
      <w:r>
        <w:t xml:space="preserve"> 监管侧默认只读，断网缓存，生产系统不因监管平台故障而中断。</w:t>
      </w:r>
    </w:p>
    <w:p>
      <w:pPr>
        <w:pStyle w:val="ListBullet"/>
      </w:pPr>
      <w:r>
        <w:t xml:space="preserve">•  </w:t>
      </w:r>
      <w:r>
        <w:rPr>
          <w:b/>
        </w:rPr>
        <w:t xml:space="preserve">不做一次性交付：</w:t>
      </w:r>
      <w:r>
        <w:t xml:space="preserve"> 告警规则、数据质量、模型效果和企业档案持续运营。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四、建设目标与总体指标</w:t>
      </w:r>
    </w:p>
    <w:p>
      <w:pPr>
        <w:pStyle w:val="Heading2"/>
      </w:pPr>
      <w:r>
        <w:t xml:space="preserve">4.1 总体目标</w:t>
      </w:r>
    </w:p>
    <w:p>
      <w:pPr>
        <w:pStyle w:val="Normal"/>
      </w:pPr>
      <w:r>
        <w:t xml:space="preserve">建设覆盖辖区重点能源企业的数字监管底座，实现：</w:t>
      </w:r>
    </w:p>
    <w:p>
      <w:pPr>
        <w:pStyle w:val="ListNumber"/>
      </w:pPr>
      <w:r>
        <w:t xml:space="preserve">1.  </w:t>
      </w:r>
      <w:r>
        <w:rPr>
          <w:b/>
        </w:rPr>
        <w:t xml:space="preserve">底数清：</w:t>
      </w:r>
      <w:r>
        <w:t xml:space="preserve"> 企业、场站、计量点、车辆、设备、证照、产能等形成统一档案。</w:t>
      </w:r>
    </w:p>
    <w:p>
      <w:pPr>
        <w:pStyle w:val="ListNumber"/>
      </w:pPr>
      <w:r>
        <w:t xml:space="preserve">2.  </w:t>
      </w:r>
      <w:r>
        <w:rPr>
          <w:b/>
        </w:rPr>
        <w:t xml:space="preserve">产量明：</w:t>
      </w:r>
      <w:r>
        <w:t xml:space="preserve"> 生产申报、现场计量、出入库、库存和结算数据可核验。</w:t>
      </w:r>
    </w:p>
    <w:p>
      <w:pPr>
        <w:pStyle w:val="ListNumber"/>
      </w:pPr>
      <w:r>
        <w:t xml:space="preserve">3.  </w:t>
      </w:r>
      <w:r>
        <w:rPr>
          <w:b/>
        </w:rPr>
        <w:t xml:space="preserve">流向可追：</w:t>
      </w:r>
      <w:r>
        <w:t xml:space="preserve"> 煤炭等实物能源从装运到去向形成运输链路。</w:t>
      </w:r>
    </w:p>
    <w:p>
      <w:pPr>
        <w:pStyle w:val="ListNumber"/>
      </w:pPr>
      <w:r>
        <w:t xml:space="preserve">4.  </w:t>
      </w:r>
      <w:r>
        <w:rPr>
          <w:b/>
        </w:rPr>
        <w:t xml:space="preserve">异常早发现：</w:t>
      </w:r>
      <w:r>
        <w:t xml:space="preserve"> 规则、视觉和异常模型主动筛查高风险事件。</w:t>
      </w:r>
    </w:p>
    <w:p>
      <w:pPr>
        <w:pStyle w:val="ListNumber"/>
      </w:pPr>
      <w:r>
        <w:t xml:space="preserve">5.  </w:t>
      </w:r>
      <w:r>
        <w:rPr>
          <w:b/>
        </w:rPr>
        <w:t xml:space="preserve">处置有闭环：</w:t>
      </w:r>
      <w:r>
        <w:t xml:space="preserve"> 告警从发现、复核、派单、整改到销号可追溯。</w:t>
      </w:r>
    </w:p>
    <w:p>
      <w:pPr>
        <w:pStyle w:val="ListNumber"/>
      </w:pPr>
      <w:r>
        <w:t xml:space="preserve">6.  </w:t>
      </w:r>
      <w:r>
        <w:rPr>
          <w:b/>
        </w:rPr>
        <w:t xml:space="preserve">数据可信：</w:t>
      </w:r>
      <w:r>
        <w:t xml:space="preserve"> 原始数据不可覆盖、时间一致、设备状态可查、证据包可导出。</w:t>
      </w:r>
    </w:p>
    <w:p>
      <w:pPr>
        <w:pStyle w:val="Heading2"/>
      </w:pPr>
      <w:r>
        <w:t xml:space="preserve">4.2 建议试点验收指标</w:t>
      </w:r>
    </w:p>
    <w:p>
      <w:pPr>
        <w:pStyle w:val="Normal"/>
      </w:pPr>
      <w:r>
        <w:t xml:space="preserve">以下为建议目标，最终数值应在现场勘查和数据基线评估后写入招标文件：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指标类别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建议目标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验收说明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地磅有效数据采集完整率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≥ 99.5%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以地磅本地有效过磅记录为分母，剔除经确认的计划停机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过磅记录与车辆/图片关联率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≥ 99%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每条有效记录关联车牌和关键抓拍图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数据上传时延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正常网络下 ≤ 5 分钟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边缘端保留原始时间，恢复网络后补传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边缘离线缓存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≥ 7 天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可根据点位数据量提高到 30 天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平台可用性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≥ 99.9%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按月统计，计划维护窗口除外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关键设备在线率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≥ 98%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地磅接口、网关、关键摄像机、道闸等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告警闭环率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≥ 95%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在规定时限内完成复核、处置或说明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数据时间同步偏差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≤ 2 秒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网关、平台、摄像机统一授时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AI 场景效果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分场景约定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基于现场标注集统计准确率、召回率和误报率，不承诺脱离场景的统一数值</w:t>
            </w:r>
          </w:p>
        </w:tc>
      </w:tr>
    </w:tbl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五、总体业务与技术架构</w:t>
      </w:r>
    </w:p>
    <w:p>
      <w:pPr>
        <w:pStyle w:val="Heading2"/>
      </w:pPr>
      <w:r>
        <w:t xml:space="preserve">5.1 总体框架</w:t>
      </w:r>
    </w:p>
    <w:p>
      <w:pPr>
        <w:pStyle w:val="Normal"/>
      </w:pPr>
      <w:r>
        <w:t xml:space="preserve">建议形成“一个监管中心、两类可信账本、三道核验、四级处置、N 类场景”。</w:t>
      </w:r>
    </w:p>
    <w:p>
      <w:pPr>
        <w:pStyle w:val="ListBullet"/>
      </w:pPr>
      <w:r>
        <w:t xml:space="preserve">•  </w:t>
      </w:r>
      <w:r>
        <w:rPr>
          <w:b/>
        </w:rPr>
        <w:t xml:space="preserve">一个监管中心：</w:t>
      </w:r>
      <w:r>
        <w:t xml:space="preserve"> 区域能源生产与流通数字监管平台；</w:t>
      </w:r>
    </w:p>
    <w:p>
      <w:pPr>
        <w:pStyle w:val="ListBullet"/>
      </w:pPr>
      <w:r>
        <w:t xml:space="preserve">•  </w:t>
      </w:r>
      <w:r>
        <w:rPr>
          <w:b/>
        </w:rPr>
        <w:t xml:space="preserve">两类可信账本：</w:t>
      </w:r>
      <w:r>
        <w:t xml:space="preserve"> 生产计量账本、运输流通账本；</w:t>
      </w:r>
    </w:p>
    <w:p>
      <w:pPr>
        <w:pStyle w:val="ListBullet"/>
      </w:pPr>
      <w:r>
        <w:t xml:space="preserve">•  </w:t>
      </w:r>
      <w:r>
        <w:rPr>
          <w:b/>
        </w:rPr>
        <w:t xml:space="preserve">三道核验：</w:t>
      </w:r>
      <w:r>
        <w:t xml:space="preserve"> 企业申报核验、现场计量核验、跨部门/市场数据核验；</w:t>
      </w:r>
    </w:p>
    <w:p>
      <w:pPr>
        <w:pStyle w:val="ListBullet"/>
      </w:pPr>
      <w:r>
        <w:t xml:space="preserve">•  </w:t>
      </w:r>
      <w:r>
        <w:rPr>
          <w:b/>
        </w:rPr>
        <w:t xml:space="preserve">四级处置：</w:t>
      </w:r>
      <w:r>
        <w:t xml:space="preserve"> 提示、一般预警、重点核查、联合处置；</w:t>
      </w:r>
    </w:p>
    <w:p>
      <w:pPr>
        <w:pStyle w:val="ListBullet"/>
      </w:pPr>
      <w:r>
        <w:t xml:space="preserve">•  </w:t>
      </w:r>
      <w:r>
        <w:rPr>
          <w:b/>
        </w:rPr>
        <w:t xml:space="preserve">N 类场景：</w:t>
      </w:r>
      <w:r>
        <w:t xml:space="preserve"> 煤矿、选煤、储运、风电、光伏、油气、储能、重点用能等。</w:t>
      </w:r>
    </w:p>
    <w:p>
      <w:pPr>
        <w:pStyle w:val="Heading2"/>
      </w:pPr>
      <w:r>
        <w:t xml:space="preserve">5.2 技术分层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层级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组成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主要职责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现场感知层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地磅仪表、皮带秤、料位计、电能表、车牌摄像机、RFID、红外对射、道闸、视频、北斗终端、电子铅封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获取计量、身份、行为、位置和设备状态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边缘智能层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SG 系列 AI 边缘网关、BEC 系列工业网关、IO 扩展模块、边缘 AI 主机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协议转换、只读采集、时间同步、断网缓存、数据签名、视频分析、本地联动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网络传输层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政务外网/专网、企业 VPN、互联网加密通道、4G/5G、有线网络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安全、稳定地上传数据和视频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平台数据层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物联网平台、时序库、业务库、对象存储、GIS、主数据、数据质量、接口网关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统一设备、业务、视频、空间和证据数据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AI 分析层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规则引擎、视觉识别、时序异常、物料平衡、车辆关系图谱、风险评分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发现异常、解释原因、形成线索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监管应用层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一企一档、产量核验、车辆监管、流向追踪、预警中心、协同处置、移动监管、专题驾驶舱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支撑日常监管、专项检查和领导决策</w:t>
            </w:r>
          </w:p>
        </w:tc>
      </w:tr>
    </w:tbl>
    <w:p>
      <w:pPr>
        <w:pStyle w:val="Heading2"/>
      </w:pPr>
      <w:r>
        <w:t xml:space="preserve">5.3 部署建议</w:t>
      </w:r>
    </w:p>
    <w:p>
      <w:pPr>
        <w:pStyle w:val="Normal"/>
      </w:pPr>
      <w:r>
        <w:t xml:space="preserve">优先采用能源局政务云或指定数据中心私有化部署。企业现场部署边缘网关，通过加密通道向监管平台单向/只读上传。视频可按需调阅，关键事件图片和短视频片段上传平台，避免把所有高清视频长期汇聚造成带宽和存储浪费。</w:t>
      </w:r>
    </w:p>
    <w:p>
      <w:pPr>
        <w:pStyle w:val="Normal"/>
      </w:pPr>
      <w:r>
        <w:t xml:space="preserve">生产控制网、企业管理网、视频网和监管采集通道应分区设计。监管平台故障或通信中断不得影响地磅、道闸和企业生产系统的正常运行。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六、煤矿生产与车辆流通监管方案</w:t>
      </w:r>
    </w:p>
    <w:p>
      <w:pPr>
        <w:pStyle w:val="Heading2"/>
      </w:pPr>
      <w:r>
        <w:t xml:space="preserve">6.1 标准业务闭环</w:t>
      </w:r>
    </w:p>
    <w:p>
      <w:pPr>
        <w:pStyle w:val="Heading3"/>
      </w:pPr>
      <w:r>
        <w:t xml:space="preserve">1. 运输计划/预约</w:t>
      </w:r>
    </w:p>
    <w:p>
      <w:pPr>
        <w:pStyle w:val="Normal"/>
      </w:pPr>
      <w:r>
        <w:t xml:space="preserve">销售订单或运输计划生成运单，关联企业、货种、车辆、驾驶员/承运方、计划重量、目的地和有效时段。没有电子运单的企业可由现有 ERP 推送，或在企业端轻量录入。</w:t>
      </w:r>
    </w:p>
    <w:p>
      <w:pPr>
        <w:pStyle w:val="Heading3"/>
      </w:pPr>
      <w:r>
        <w:t xml:space="preserve">2. 车辆进场核验</w:t>
      </w:r>
    </w:p>
    <w:p>
      <w:pPr>
        <w:pStyle w:val="ListBullet"/>
      </w:pPr>
      <w:r>
        <w:t xml:space="preserve">•  车牌识别 + RFID/电子标签双因子核验；</w:t>
      </w:r>
    </w:p>
    <w:p>
      <w:pPr>
        <w:pStyle w:val="ListBullet"/>
      </w:pPr>
      <w:r>
        <w:t xml:space="preserve">•  比对车辆档案、道路运输资质、核定载质量和黑白名单；</w:t>
      </w:r>
    </w:p>
    <w:p>
      <w:pPr>
        <w:pStyle w:val="ListBullet"/>
      </w:pPr>
      <w:r>
        <w:t xml:space="preserve">•  驾驶员使用员工卡、运输企业账号、二维码或移动端实名账号核验；</w:t>
      </w:r>
    </w:p>
    <w:p>
      <w:pPr>
        <w:pStyle w:val="ListBullet"/>
      </w:pPr>
      <w:r>
        <w:t xml:space="preserve">•  抓拍车头、车尾、驾驶室侧和货箱，记录进场时间。</w:t>
      </w:r>
    </w:p>
    <w:p>
      <w:pPr>
        <w:pStyle w:val="Heading3"/>
      </w:pPr>
      <w:r>
        <w:t xml:space="preserve">3. 空车称重</w:t>
      </w:r>
    </w:p>
    <w:p>
      <w:pPr>
        <w:pStyle w:val="ListBullet"/>
      </w:pPr>
      <w:r>
        <w:t xml:space="preserve">•  红外对射/视频判断车辆是否完全停在磅台；</w:t>
      </w:r>
    </w:p>
    <w:p>
      <w:pPr>
        <w:pStyle w:val="ListBullet"/>
      </w:pPr>
      <w:r>
        <w:t xml:space="preserve">•  车速、稳定时间和仪表稳定标志达到条件后取数；</w:t>
      </w:r>
    </w:p>
    <w:p>
      <w:pPr>
        <w:pStyle w:val="ListBullet"/>
      </w:pPr>
      <w:r>
        <w:t xml:space="preserve">•  数据直接从称重仪表/既有系统只读采集，同时保存仪表原始值；</w:t>
      </w:r>
    </w:p>
    <w:p>
      <w:pPr>
        <w:pStyle w:val="ListBullet"/>
      </w:pPr>
      <w:r>
        <w:t xml:space="preserve">•  车牌、RFID、轴数、历史皮重和图片自动关联。</w:t>
      </w:r>
    </w:p>
    <w:p>
      <w:pPr>
        <w:pStyle w:val="Heading3"/>
      </w:pPr>
      <w:r>
        <w:t xml:space="preserve">4. 装载过程核验</w:t>
      </w:r>
    </w:p>
    <w:p>
      <w:pPr>
        <w:pStyle w:val="ListBullet"/>
      </w:pPr>
      <w:r>
        <w:t xml:space="preserve">•  关联装载点、煤种、煤仓/堆场和作业时段；</w:t>
      </w:r>
    </w:p>
    <w:p>
      <w:pPr>
        <w:pStyle w:val="ListBullet"/>
      </w:pPr>
      <w:r>
        <w:t xml:space="preserve">•  视频识别非计划装载、人员闯入、车辆异常停留等行为；</w:t>
      </w:r>
    </w:p>
    <w:p>
      <w:pPr>
        <w:pStyle w:val="ListBullet"/>
      </w:pPr>
      <w:r>
        <w:t xml:space="preserve">•  有条件时采集皮带秤、煤仓料位或装载设备数据，与车辆净重进行总量核验。</w:t>
      </w:r>
    </w:p>
    <w:p>
      <w:pPr>
        <w:pStyle w:val="Heading3"/>
      </w:pPr>
      <w:r>
        <w:t xml:space="preserve">5. 重车称重与放行</w:t>
      </w:r>
    </w:p>
    <w:p>
      <w:pPr>
        <w:pStyle w:val="ListBullet"/>
      </w:pPr>
      <w:r>
        <w:t xml:space="preserve">•  自动计算净重，核验车辆核定载质量、订单余量和货种；</w:t>
      </w:r>
    </w:p>
    <w:p>
      <w:pPr>
        <w:pStyle w:val="ListBullet"/>
      </w:pPr>
      <w:r>
        <w:t xml:space="preserve">•  比对前后车牌/RFID/轴数/车辆外观是否一致；</w:t>
      </w:r>
    </w:p>
    <w:p>
      <w:pPr>
        <w:pStyle w:val="ListBullet"/>
      </w:pPr>
      <w:r>
        <w:t xml:space="preserve">•  关键记录保存多角度图片和短视频；</w:t>
      </w:r>
    </w:p>
    <w:p>
      <w:pPr>
        <w:pStyle w:val="ListBullet"/>
      </w:pPr>
      <w:r>
        <w:t xml:space="preserve">•  满足放行规则后，道闸由企业既有系统执行。监管平台默认只记录，不直接控制企业道闸；如需联动，单独审批并设置人工兜底。</w:t>
      </w:r>
    </w:p>
    <w:p>
      <w:pPr>
        <w:pStyle w:val="Heading3"/>
      </w:pPr>
      <w:r>
        <w:t xml:space="preserve">6. 在途监管</w:t>
      </w:r>
    </w:p>
    <w:p>
      <w:pPr>
        <w:pStyle w:val="ListBullet"/>
      </w:pPr>
      <w:r>
        <w:t xml:space="preserve">•  北斗/GNSS 上报位置、速度、里程、停留和终端状态；</w:t>
      </w:r>
    </w:p>
    <w:p>
      <w:pPr>
        <w:pStyle w:val="ListBullet"/>
      </w:pPr>
      <w:r>
        <w:t xml:space="preserve">•  电子围栏识别偏离规定路线、长时间停留、异常折返和信号中断；</w:t>
      </w:r>
    </w:p>
    <w:p>
      <w:pPr>
        <w:pStyle w:val="ListBullet"/>
      </w:pPr>
      <w:r>
        <w:t xml:space="preserve">•  高风险或指定货物可选配电子铅封/锁，记录非法开启；</w:t>
      </w:r>
    </w:p>
    <w:p>
      <w:pPr>
        <w:pStyle w:val="ListBullet"/>
      </w:pPr>
      <w:r>
        <w:t xml:space="preserve">•  到达收货点后通过收货称重、地理围栏或签收单核销。</w:t>
      </w:r>
    </w:p>
    <w:p>
      <w:pPr>
        <w:pStyle w:val="Heading3"/>
      </w:pPr>
      <w:r>
        <w:t xml:space="preserve">7. 对账与闭环</w:t>
      </w:r>
    </w:p>
    <w:p>
      <w:pPr>
        <w:pStyle w:val="Normal"/>
      </w:pPr>
      <w:r>
        <w:t xml:space="preserve">按车、班次、日、月汇总运输量，与销售、库存、生产申报、发票/结算等授权数据交叉核验。异常进入预警中心，经人工复核、企业说明、现场核查和整改销号形成闭环。</w:t>
      </w:r>
    </w:p>
    <w:p>
      <w:pPr>
        <w:pStyle w:val="Heading2"/>
      </w:pPr>
      <w:r>
        <w:t xml:space="preserve">6.2 防称重作弊设计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风险行为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识别手段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形成的证据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车辆未完全上磅、压边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磅台两端红外对射、全景视频、稳定重量判断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红外状态、称重曲线、抓拍图/视频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前后车跟磅或多车上磅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前后车牌、目标检测、轴数/轮廓判断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车辆目标框、轴数、关键帧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套牌或标签借用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车牌 + RFID + 车辆外观特征 + 轴数交叉核验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多因子比对结果、原图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虚假皮重/固定皮重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本次空车实称、历史皮重分布、时间间隔分析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皮重趋势、离群值、过磅记录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人工修改称重结果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仪表原始值与业务系统值双采集、操作日志、数据签名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原始报文、修改前后值、操作人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重复过磅/一单多运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运单唯一编号、车牌时序、订单余额核验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重复记录关系、时间线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计量器具异常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检定有效期、零点漂移、稳定性、断线/重启监测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设备健康记录、告警、检定档案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绕开地磅或备用通道偷运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出入口/道路视频、道闸状态、车辆轨迹、周界点位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车牌事件、轨迹、视频片段</w:t>
            </w:r>
          </w:p>
        </w:tc>
      </w:tr>
    </w:tbl>
    <w:p>
      <w:pPr>
        <w:pStyle w:val="Heading2"/>
      </w:pPr>
      <w:r>
        <w:t xml:space="preserve">6.3 物料平衡与“隐性外运”分析</w:t>
      </w:r>
    </w:p>
    <w:p>
      <w:pPr>
        <w:pStyle w:val="Normal"/>
      </w:pPr>
      <w:r>
        <w:t xml:space="preserve">平台按企业配置物料流图：采掘/提升 → 原煤仓 → 洗选 → 商品煤仓 → 装车 → 出场。每个关键节点定义计量来源、采集频率和可信等级。</w:t>
      </w:r>
    </w:p>
    <w:p>
      <w:pPr>
        <w:pStyle w:val="Normal"/>
      </w:pPr>
      <w:r>
        <w:t xml:space="preserve">建议核心指标：</w:t>
      </w:r>
    </w:p>
    <w:p>
      <w:pPr>
        <w:pStyle w:val="ListBullet"/>
      </w:pPr>
      <w:r>
        <w:t xml:space="preserve">•  申报产量与现场核验量偏差率；</w:t>
      </w:r>
    </w:p>
    <w:p>
      <w:pPr>
        <w:pStyle w:val="ListBullet"/>
      </w:pPr>
      <w:r>
        <w:t xml:space="preserve">•  商品煤外运量与销售结算量偏差率；</w:t>
      </w:r>
    </w:p>
    <w:p>
      <w:pPr>
        <w:pStyle w:val="ListBullet"/>
      </w:pPr>
      <w:r>
        <w:t xml:space="preserve">•  原煤入洗量、商品煤产出量和副产品量的平衡偏差；</w:t>
      </w:r>
    </w:p>
    <w:p>
      <w:pPr>
        <w:pStyle w:val="ListBullet"/>
      </w:pPr>
      <w:r>
        <w:t xml:space="preserve">•  库存变化与料位/盘库记录偏差；</w:t>
      </w:r>
    </w:p>
    <w:p>
      <w:pPr>
        <w:pStyle w:val="ListBullet"/>
      </w:pPr>
      <w:r>
        <w:t xml:space="preserve">•  单车净重与车辆核定载质量偏差；</w:t>
      </w:r>
    </w:p>
    <w:p>
      <w:pPr>
        <w:pStyle w:val="ListBullet"/>
      </w:pPr>
      <w:r>
        <w:t xml:space="preserve">•  夜间、节假日、停产报备期间的异常装运量；</w:t>
      </w:r>
    </w:p>
    <w:p>
      <w:pPr>
        <w:pStyle w:val="ListBullet"/>
      </w:pPr>
      <w:r>
        <w:t xml:space="preserve">•  无运单、有称重；有放行、无称重；有轨迹、无出场记录等“孤立事件”。</w:t>
      </w:r>
    </w:p>
    <w:p>
      <w:pPr>
        <w:pStyle w:val="Normal"/>
      </w:pPr>
      <w:r>
        <w:t xml:space="preserve">平台应显示偏差来源和数据质量，不把业务口径差异自动标记为违法。</w:t>
      </w:r>
    </w:p>
    <w:p>
      <w:pPr>
        <w:pStyle w:val="Heading2"/>
      </w:pPr>
      <w:r>
        <w:t xml:space="preserve">6.4 车辆和人员身份核验策略</w:t>
      </w:r>
    </w:p>
    <w:p>
      <w:pPr>
        <w:pStyle w:val="Normal"/>
      </w:pPr>
      <w:r>
        <w:t xml:space="preserve">建议按风险分级，不默认采集人脸：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级别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适用对象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核验方式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基础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固定企业自有车辆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车牌 + 企业车辆档案 + 运单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标准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社会承运车辆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车牌 + RFID/二维码 + 承运方账号 + 运单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加强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高风险车辆/重点时段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标准核验 + 驾驶员实名移动端/证件人工核验 + 电子铅封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特殊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法规明确或经必要性论证的场景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经审批后使用生物识别，并提供非生物识别替代方式</w:t>
            </w:r>
          </w:p>
        </w:tc>
      </w:tr>
    </w:tbl>
    <w:p>
      <w:pPr>
        <w:pStyle w:val="Heading2"/>
      </w:pPr>
      <w:r>
        <w:t xml:space="preserve">6.5 价格与体系外交易核验</w:t>
      </w:r>
    </w:p>
    <w:p>
      <w:pPr>
        <w:pStyle w:val="Normal"/>
      </w:pPr>
      <w:r>
        <w:t xml:space="preserve">称重能够证明“什么货、哪辆车、运出多少”，但不能单独证明成交价格或是否进入企业正式结算体系。识别疑似体系外运输/交易，需要在能源局法定权限和数据共享授权范围内，将实物流与订单、合同、价格、结算和发票等信息关联。</w:t>
      </w:r>
    </w:p>
    <w:p>
      <w:pPr>
        <w:pStyle w:val="Normal"/>
      </w:pPr>
      <w:r>
        <w:t xml:space="preserve">建议重点发现：</w:t>
      </w:r>
    </w:p>
    <w:p>
      <w:pPr>
        <w:pStyle w:val="ListBullet"/>
      </w:pPr>
      <w:r>
        <w:t xml:space="preserve">•  有出库实物流，但无有效订单、合同或运输单；</w:t>
      </w:r>
    </w:p>
    <w:p>
      <w:pPr>
        <w:pStyle w:val="ListBullet"/>
      </w:pPr>
      <w:r>
        <w:t xml:space="preserve">•  已出库且超过合理结算周期，仍无收货、结算或合法冲销记录；</w:t>
      </w:r>
    </w:p>
    <w:p>
      <w:pPr>
        <w:pStyle w:val="ListBullet"/>
      </w:pPr>
      <w:r>
        <w:t xml:space="preserve">•  磅单货种、质量等级、数量与合同/结算信息不一致；</w:t>
      </w:r>
    </w:p>
    <w:p>
      <w:pPr>
        <w:pStyle w:val="ListBullet"/>
      </w:pPr>
      <w:r>
        <w:t xml:space="preserve">•  订单取消、退货或冲红后，车辆和货物并未实际回流；</w:t>
      </w:r>
    </w:p>
    <w:p>
      <w:pPr>
        <w:pStyle w:val="ListBullet"/>
      </w:pPr>
      <w:r>
        <w:t xml:space="preserve">•  同煤种、同质量、相近交付条件下价格显著离群，且无法给出运费、账期、质量或关联交易等合理解释；</w:t>
      </w:r>
    </w:p>
    <w:p>
      <w:pPr>
        <w:pStyle w:val="ListBullet"/>
      </w:pPr>
      <w:r>
        <w:t xml:space="preserve">•  频繁拆单、关联车辆集中运输、货款与承运/收货主体关系异常。</w:t>
      </w:r>
    </w:p>
    <w:p>
      <w:pPr>
        <w:pStyle w:val="Normal"/>
      </w:pPr>
      <w:r>
        <w:t xml:space="preserve">多数煤炭交易价格受市场供求影响。价格偏离只能作为核查线索，不能仅因低于企业挂牌价、区域均价或算法基准价就认定违法。涉及价格、税票、资金和关联交易的进一步调查，应按职责移交市场监管、税务、公安等有权部门，平台保留移交和反馈记录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七、风电、光伏等新能源监管方案</w:t>
      </w:r>
    </w:p>
    <w:p>
      <w:pPr>
        <w:pStyle w:val="Heading2"/>
      </w:pPr>
      <w:r>
        <w:t xml:space="preserve">7.1 数据来源</w:t>
      </w:r>
    </w:p>
    <w:p>
      <w:pPr>
        <w:pStyle w:val="ListBullet"/>
      </w:pPr>
      <w:r>
        <w:t xml:space="preserve">•  关口电能表和计量采集系统；</w:t>
      </w:r>
    </w:p>
    <w:p>
      <w:pPr>
        <w:pStyle w:val="ListBullet"/>
      </w:pPr>
      <w:r>
        <w:t xml:space="preserve">•  场站 SCADA 的实时功率、累计发电量、设备状态；</w:t>
      </w:r>
    </w:p>
    <w:p>
      <w:pPr>
        <w:pStyle w:val="ListBullet"/>
      </w:pPr>
      <w:r>
        <w:t xml:space="preserve">•  风机/逆变器、箱变、集电线路和升压站数据；</w:t>
      </w:r>
    </w:p>
    <w:p>
      <w:pPr>
        <w:pStyle w:val="ListBullet"/>
      </w:pPr>
      <w:r>
        <w:t xml:space="preserve">•  调度指令、AGC/AVC 执行、功率预测；</w:t>
      </w:r>
    </w:p>
    <w:p>
      <w:pPr>
        <w:pStyle w:val="ListBullet"/>
      </w:pPr>
      <w:r>
        <w:t xml:space="preserve">•  市场交易合同、结算电量、电价和绿证等授权数据；</w:t>
      </w:r>
    </w:p>
    <w:p>
      <w:pPr>
        <w:pStyle w:val="ListBullet"/>
      </w:pPr>
      <w:r>
        <w:t xml:space="preserve">•  检修计划、故障停机、限电和气象资源数据。</w:t>
      </w:r>
    </w:p>
    <w:p>
      <w:pPr>
        <w:pStyle w:val="Heading2"/>
      </w:pPr>
      <w:r>
        <w:t xml:space="preserve">7.2 三账核验</w:t>
      </w:r>
    </w:p>
    <w:p>
      <w:pPr>
        <w:pStyle w:val="ListNumber"/>
      </w:pPr>
      <w:r>
        <w:t xml:space="preserve">1.  </w:t>
      </w:r>
      <w:r>
        <w:rPr>
          <w:b/>
        </w:rPr>
        <w:t xml:space="preserve">生产账：</w:t>
      </w:r>
      <w:r>
        <w:t xml:space="preserve"> SCADA 发电量、设备可利用率、理论功率和实际功率；</w:t>
      </w:r>
    </w:p>
    <w:p>
      <w:pPr>
        <w:pStyle w:val="ListNumber"/>
      </w:pPr>
      <w:r>
        <w:t xml:space="preserve">2.  </w:t>
      </w:r>
      <w:r>
        <w:rPr>
          <w:b/>
        </w:rPr>
        <w:t xml:space="preserve">计量账：</w:t>
      </w:r>
      <w:r>
        <w:t xml:space="preserve"> 关口表上网电量、厂用电和线损；</w:t>
      </w:r>
    </w:p>
    <w:p>
      <w:pPr>
        <w:pStyle w:val="ListNumber"/>
      </w:pPr>
      <w:r>
        <w:t xml:space="preserve">3.  </w:t>
      </w:r>
      <w:r>
        <w:rPr>
          <w:b/>
        </w:rPr>
        <w:t xml:space="preserve">结算账：</w:t>
      </w:r>
      <w:r>
        <w:t xml:space="preserve"> 电网/市场结算电量、电价及偏差费用。</w:t>
      </w:r>
    </w:p>
    <w:p>
      <w:pPr>
        <w:pStyle w:val="Normal"/>
      </w:pPr>
      <w:r>
        <w:t xml:space="preserve">重点算法包括：</w:t>
      </w:r>
    </w:p>
    <w:p>
      <w:pPr>
        <w:pStyle w:val="ListBullet"/>
      </w:pPr>
      <w:r>
        <w:t xml:space="preserve">•  SCADA 累计发电量与关口表电量偏差；</w:t>
      </w:r>
    </w:p>
    <w:p>
      <w:pPr>
        <w:pStyle w:val="ListBullet"/>
      </w:pPr>
      <w:r>
        <w:t xml:space="preserve">•  理论发电量与实际发电量的资源归一化偏差；</w:t>
      </w:r>
    </w:p>
    <w:p>
      <w:pPr>
        <w:pStyle w:val="ListBullet"/>
      </w:pPr>
      <w:r>
        <w:t xml:space="preserve">•  限电、故障、检修等损失电量口径一致性；</w:t>
      </w:r>
    </w:p>
    <w:p>
      <w:pPr>
        <w:pStyle w:val="ListBullet"/>
      </w:pPr>
      <w:r>
        <w:t xml:space="preserve">•  同类风机/逆变器横向异常；</w:t>
      </w:r>
    </w:p>
    <w:p>
      <w:pPr>
        <w:pStyle w:val="ListBullet"/>
      </w:pPr>
      <w:r>
        <w:t xml:space="preserve">•  功率曲线偏移、传感器漂移和长期降效；</w:t>
      </w:r>
    </w:p>
    <w:p>
      <w:pPr>
        <w:pStyle w:val="ListBullet"/>
      </w:pPr>
      <w:r>
        <w:t xml:space="preserve">•  结算电量与计量电量异常偏差。</w:t>
      </w:r>
    </w:p>
    <w:p>
      <w:pPr>
        <w:pStyle w:val="Normal"/>
      </w:pPr>
      <w:r>
        <w:t xml:space="preserve">新能源场景的重点是“生产真实性、运行效率和结算一致性”，不应照搬煤炭“偷运”模型。</w:t>
      </w:r>
    </w:p>
    <w:p>
      <w:pPr>
        <w:pStyle w:val="Heading2"/>
      </w:pPr>
      <w:r>
        <w:t xml:space="preserve">7.3 接入安全</w:t>
      </w:r>
    </w:p>
    <w:p>
      <w:pPr>
        <w:pStyle w:val="Normal"/>
      </w:pPr>
      <w:r>
        <w:t xml:space="preserve">场站生产控制系统原则上采用只读接口、隔离网闸/数据转发区或企业认可的安全接入方式。监管平台不向风机、逆变器、AGC/AVC 等控制系统下发指令。涉及电力监控系统安全防护的，按电力行业规定专项设计和审查。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八、物联网感知与边缘建设</w:t>
      </w:r>
    </w:p>
    <w:p>
      <w:pPr>
        <w:pStyle w:val="Heading2"/>
      </w:pPr>
      <w:r>
        <w:t xml:space="preserve">8.1 煤矿单站建议配置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子系统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标准配置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建设说明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称重采集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地磅仪表只读接口、称重曲线采集、检定档案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优先接入既有合格地磅；新建地磅按法定计量要求采购和检定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车辆识别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前后车牌摄像机、RFID、轴数/轮廓信息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双因子识别，保留原图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磅台防作弊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前后红外对射、全景/侧面摄像机、红绿灯和道闸状态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关键点位视频与过磅记录同步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边缘网关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SG-III/SG-II 或 BEC 系列，按点位和算力选型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多协议接入、断网缓存、时间同步、数据签名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IO 扩展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SDS30、IOC12/08/44 等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采集红外、道闸、按钮、继电器等状态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运输监管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北斗/GNSS 终端，重点车辆可选电子铅封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由合规终端和地图服务商配套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网络与供电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有线主链路，4G/5G 备链路，UPS/浪涌保护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户外设备按现场防护、防雷和温度要求选型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平台接口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ERP、称重系统、视频平台、库存/销售系统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提供 API、消息、数据库视图或文件交换方式</w:t>
            </w:r>
          </w:p>
        </w:tc>
      </w:tr>
    </w:tbl>
    <w:p>
      <w:pPr>
        <w:pStyle w:val="Heading2"/>
      </w:pPr>
      <w:r>
        <w:t xml:space="preserve">8.2 通微产品与能力映射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建设能力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通微可承载能力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交付边界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现场边缘计算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SG-III AI 边缘网关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具体 AI 算力和路数按算法模型、码流和现场测试确认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多协议稳定接入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SG-II、BEC1000/2000/6100 等工业网关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支持范围以最终技术规格、协议适配清单为准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IO 与设备状态采集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SDS30、IOC12/08/44 等扩展模块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点位数量、电气隔离、防爆和防护等级按设计确认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断网缓存和本地规则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SG/BEC 网关 + 边缘软件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缓存天数按数据量和存储配置确定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平台和应用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AIoT 平台、私有化部署、大屏、APP/移动端、工单巡检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按监管角色、接口和场景进行定制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开放对接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Modbus、串口、RS485、SNMP、MQTT、REST/WebService 等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新协议需在调研期完成样机联调和工作量确认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第三方计量/视频/定位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生态合作接入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地磅、摄像机、RFID、北斗、电子铅封等按项目采购，不宣称为通微自有标准产品</w:t>
            </w:r>
          </w:p>
        </w:tc>
      </w:tr>
    </w:tbl>
    <w:p>
      <w:pPr>
        <w:pStyle w:val="Heading2"/>
      </w:pPr>
      <w:r>
        <w:t xml:space="preserve">8.3 设备选型原则</w:t>
      </w:r>
    </w:p>
    <w:p>
      <w:pPr>
        <w:pStyle w:val="ListBullet"/>
      </w:pPr>
      <w:r>
        <w:t xml:space="preserve">•  煤矿井下或爆炸性环境设备必须满足适用的矿用、防爆和安标要求；通微现有通用网关未经对应认证不得进入强制认证区域。</w:t>
      </w:r>
    </w:p>
    <w:p>
      <w:pPr>
        <w:pStyle w:val="ListBullet"/>
      </w:pPr>
      <w:r>
        <w:t xml:space="preserve">•  户外设备核实 IP 防护、防雷、温度、粉尘、振动和电磁兼容要求。</w:t>
      </w:r>
    </w:p>
    <w:p>
      <w:pPr>
        <w:pStyle w:val="ListBullet"/>
      </w:pPr>
      <w:r>
        <w:t xml:space="preserve">•  法定计量器具必须在有效检定周期内，检定状态纳入平台告警。</w:t>
      </w:r>
    </w:p>
    <w:p>
      <w:pPr>
        <w:pStyle w:val="ListBullet"/>
      </w:pPr>
      <w:r>
        <w:t xml:space="preserve">•  摄像机应满足现场补光、逆光、粉尘和夜间识别条件，算法指标以现场图像质量为前提。</w:t>
      </w:r>
    </w:p>
    <w:p>
      <w:pPr>
        <w:pStyle w:val="ListBullet"/>
      </w:pPr>
      <w:r>
        <w:t xml:space="preserve">•  所有设备建立唯一编码、固件版本、安装位置、检定/维护记录和责任人档案。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九、AI 分析体系</w:t>
      </w:r>
    </w:p>
    <w:p>
      <w:pPr>
        <w:pStyle w:val="Heading2"/>
      </w:pPr>
      <w:r>
        <w:t xml:space="preserve">9.1 技术路线</w:t>
      </w:r>
    </w:p>
    <w:p>
      <w:pPr>
        <w:pStyle w:val="Normal"/>
      </w:pPr>
      <w:r>
        <w:t xml:space="preserve">采用“规则引擎为主、统计模型增强、视觉 AI 补充、人工复核定性”的路线。</w:t>
      </w:r>
    </w:p>
    <w:p>
      <w:pPr>
        <w:pStyle w:val="Heading3"/>
      </w:pPr>
      <w:r>
        <w:t xml:space="preserve">第一层：确定性规则</w:t>
      </w:r>
    </w:p>
    <w:p>
      <w:pPr>
        <w:pStyle w:val="Normal"/>
      </w:pPr>
      <w:r>
        <w:t xml:space="preserve">适合快速上线、可解释性强的场景：</w:t>
      </w:r>
    </w:p>
    <w:p>
      <w:pPr>
        <w:pStyle w:val="ListBullet"/>
      </w:pPr>
      <w:r>
        <w:t xml:space="preserve">•  无运单过磅、一单多车/一车多单；</w:t>
      </w:r>
    </w:p>
    <w:p>
      <w:pPr>
        <w:pStyle w:val="ListBullet"/>
      </w:pPr>
      <w:r>
        <w:t xml:space="preserve">•  车牌与 RFID 不一致；</w:t>
      </w:r>
    </w:p>
    <w:p>
      <w:pPr>
        <w:pStyle w:val="ListBullet"/>
      </w:pPr>
      <w:r>
        <w:t xml:space="preserve">•  车辆未完全上磅、重量未稳定；</w:t>
      </w:r>
    </w:p>
    <w:p>
      <w:pPr>
        <w:pStyle w:val="ListBullet"/>
      </w:pPr>
      <w:r>
        <w:t xml:space="preserve">•  净重超过车辆核定载质量或订单余量；</w:t>
      </w:r>
    </w:p>
    <w:p>
      <w:pPr>
        <w:pStyle w:val="ListBullet"/>
      </w:pPr>
      <w:r>
        <w:t xml:space="preserve">•  停产报备期间存在装运；</w:t>
      </w:r>
    </w:p>
    <w:p>
      <w:pPr>
        <w:pStyle w:val="ListBullet"/>
      </w:pPr>
      <w:r>
        <w:t xml:space="preserve">•  设备离线、数据中断、计量检定过期；</w:t>
      </w:r>
    </w:p>
    <w:p>
      <w:pPr>
        <w:pStyle w:val="ListBullet"/>
      </w:pPr>
      <w:r>
        <w:t xml:space="preserve">•  出场记录与轨迹不匹配。</w:t>
      </w:r>
    </w:p>
    <w:p>
      <w:pPr>
        <w:pStyle w:val="Heading3"/>
      </w:pPr>
      <w:r>
        <w:t xml:space="preserve">第二层：统计与时序异常</w:t>
      </w:r>
    </w:p>
    <w:p>
      <w:pPr>
        <w:pStyle w:val="ListBullet"/>
      </w:pPr>
      <w:r>
        <w:t xml:space="preserve">•  历史皮重异常、空重差异常；</w:t>
      </w:r>
    </w:p>
    <w:p>
      <w:pPr>
        <w:pStyle w:val="ListBullet"/>
      </w:pPr>
      <w:r>
        <w:t xml:space="preserve">•  企业日/班次产销存偏差异常；</w:t>
      </w:r>
    </w:p>
    <w:p>
      <w:pPr>
        <w:pStyle w:val="ListBullet"/>
      </w:pPr>
      <w:r>
        <w:t xml:space="preserve">•  夜间装运频率、车辆周转时间、线路停留异常；</w:t>
      </w:r>
    </w:p>
    <w:p>
      <w:pPr>
        <w:pStyle w:val="ListBullet"/>
      </w:pPr>
      <w:r>
        <w:t xml:space="preserve">•  设备读数突变、漂移、长期固定值；</w:t>
      </w:r>
    </w:p>
    <w:p>
      <w:pPr>
        <w:pStyle w:val="ListBullet"/>
      </w:pPr>
      <w:r>
        <w:t xml:space="preserve">•  风机/逆变器同群对比和功率曲线偏移。</w:t>
      </w:r>
    </w:p>
    <w:p>
      <w:pPr>
        <w:pStyle w:val="Heading3"/>
      </w:pPr>
      <w:r>
        <w:t xml:space="preserve">第三层：视觉 AI</w:t>
      </w:r>
    </w:p>
    <w:p>
      <w:pPr>
        <w:pStyle w:val="ListBullet"/>
      </w:pPr>
      <w:r>
        <w:t xml:space="preserve">•  车辆未完全上磅、多车同时上磅；</w:t>
      </w:r>
    </w:p>
    <w:p>
      <w:pPr>
        <w:pStyle w:val="ListBullet"/>
      </w:pPr>
      <w:r>
        <w:t xml:space="preserve">•  车牌遮挡/不一致、货箱状态、异常装卸；</w:t>
      </w:r>
    </w:p>
    <w:p>
      <w:pPr>
        <w:pStyle w:val="ListBullet"/>
      </w:pPr>
      <w:r>
        <w:t xml:space="preserve">•  备用道路车辆通行、重点区域人员闯入；</w:t>
      </w:r>
    </w:p>
    <w:p>
      <w:pPr>
        <w:pStyle w:val="ListBullet"/>
      </w:pPr>
      <w:r>
        <w:t xml:space="preserve">•  事件发生时自动截取关键帧和短视频。</w:t>
      </w:r>
    </w:p>
    <w:p>
      <w:pPr>
        <w:pStyle w:val="Heading3"/>
      </w:pPr>
      <w:r>
        <w:t xml:space="preserve">第四层：关系与风险分析</w:t>
      </w:r>
    </w:p>
    <w:p>
      <w:pPr>
        <w:pStyle w:val="Normal"/>
      </w:pPr>
      <w:r>
        <w:t xml:space="preserve">以企业、车辆、驾驶员/承运方、收货单位、路线、订单和计量记录构建关系网络，发现：</w:t>
      </w:r>
    </w:p>
    <w:p>
      <w:pPr>
        <w:pStyle w:val="ListBullet"/>
      </w:pPr>
      <w:r>
        <w:t xml:space="preserve">•  多辆车共用标签或异常共享身份；</w:t>
      </w:r>
    </w:p>
    <w:p>
      <w:pPr>
        <w:pStyle w:val="ListBullet"/>
      </w:pPr>
      <w:r>
        <w:t xml:space="preserve">•  高频往返但订单/结算缺失；</w:t>
      </w:r>
    </w:p>
    <w:p>
      <w:pPr>
        <w:pStyle w:val="ListBullet"/>
      </w:pPr>
      <w:r>
        <w:t xml:space="preserve">•  特定车辆、时段、操作员组合的异常集中；</w:t>
      </w:r>
    </w:p>
    <w:p>
      <w:pPr>
        <w:pStyle w:val="ListBullet"/>
      </w:pPr>
      <w:r>
        <w:t xml:space="preserve">•  多企业之间异常调入调出和闭环运输。</w:t>
      </w:r>
    </w:p>
    <w:p>
      <w:pPr>
        <w:pStyle w:val="Heading2"/>
      </w:pPr>
      <w:r>
        <w:t xml:space="preserve">9.2 风险评分示例</w:t>
      </w:r>
    </w:p>
    <w:p>
      <w:pPr>
        <w:pStyle w:val="Normal"/>
      </w:pPr>
      <w:r>
        <w:t xml:space="preserve">平台可采用可解释加权评分：</w:t>
      </w:r>
    </w:p>
    <w:p>
      <w:pPr>
        <w:pStyle w:val="Normal"/>
      </w:pPr>
      <w:r>
        <w:rPr>
          <w:rFonts w:ascii="Menlo" w:hAnsi="Menlo" w:eastAsia="Microsoft YaHei"/>
          <w:shd w:val="clear" w:color="auto" w:fill="EDF3F2"/>
          <w:color w:val="204D52"/>
        </w:rPr>
        <w:t xml:space="preserve">事件风险分 = 身份异常 × 权重 + 计量异常 × 权重 + 轨迹异常 × 权重 + 视频异常 × 权重 + 历史风险 × 权重</w:t>
      </w:r>
    </w:p>
    <w:p>
      <w:pPr>
        <w:pStyle w:val="Normal"/>
      </w:pPr>
      <w:r>
        <w:t xml:space="preserve">风险分仅用于排序和分级。每条预警必须展示触发规则、关联数据、原始图片/视频、设备状态和模型版本，监管人员可以确认、驳回或要求补证。</w:t>
      </w:r>
    </w:p>
    <w:p>
      <w:pPr>
        <w:pStyle w:val="Heading2"/>
      </w:pPr>
      <w:r>
        <w:t xml:space="preserve">9.3 AI 治理</w:t>
      </w:r>
    </w:p>
    <w:p>
      <w:pPr>
        <w:pStyle w:val="ListBullet"/>
      </w:pPr>
      <w:r>
        <w:t xml:space="preserve">•  每个模型建立用途、适用范围、版本、阈值、训练数据和责任人档案；</w:t>
      </w:r>
    </w:p>
    <w:p>
      <w:pPr>
        <w:pStyle w:val="ListBullet"/>
      </w:pPr>
      <w:r>
        <w:t xml:space="preserve">•  使用现场标注集分别验收白天/夜间、晴雨、粉尘等条件；</w:t>
      </w:r>
    </w:p>
    <w:p>
      <w:pPr>
        <w:pStyle w:val="ListBullet"/>
      </w:pPr>
      <w:r>
        <w:t xml:space="preserve">•  持续统计准确率、召回率、误报率和人工驳回原因；</w:t>
      </w:r>
    </w:p>
    <w:p>
      <w:pPr>
        <w:pStyle w:val="ListBullet"/>
      </w:pPr>
      <w:r>
        <w:t xml:space="preserve">•  模型升级采用灰度发布，可回滚，可对历史结果追溯；</w:t>
      </w:r>
    </w:p>
    <w:p>
      <w:pPr>
        <w:pStyle w:val="ListBullet"/>
      </w:pPr>
      <w:r>
        <w:t xml:space="preserve">•  不使用无法解释来源的黑箱评分直接限制企业经营或作出处罚；</w:t>
      </w:r>
    </w:p>
    <w:p>
      <w:pPr>
        <w:pStyle w:val="ListBullet"/>
      </w:pPr>
      <w:r>
        <w:t xml:space="preserve">•  涉及个人信息的模型执行最小化、脱敏、访问控制和留存期限管理。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十、平台功能设计</w:t>
      </w:r>
    </w:p>
    <w:p>
      <w:pPr>
        <w:pStyle w:val="Heading2"/>
      </w:pPr>
      <w:r>
        <w:t xml:space="preserve">10.1 能源监管驾驶舱</w:t>
      </w:r>
    </w:p>
    <w:p>
      <w:pPr>
        <w:pStyle w:val="ListBullet"/>
      </w:pPr>
      <w:r>
        <w:t xml:space="preserve">•  辖区企业、核定产能、当日产量/外运量、月累计和同比环比；</w:t>
      </w:r>
    </w:p>
    <w:p>
      <w:pPr>
        <w:pStyle w:val="ListBullet"/>
      </w:pPr>
      <w:r>
        <w:t xml:space="preserve">•  煤矿运行状态、风光场站出力、重点设备在线情况；</w:t>
      </w:r>
    </w:p>
    <w:p>
      <w:pPr>
        <w:pStyle w:val="ListBullet"/>
      </w:pPr>
      <w:r>
        <w:t xml:space="preserve">•  车辆流向地图、重点路线、异常热力分布；</w:t>
      </w:r>
    </w:p>
    <w:p>
      <w:pPr>
        <w:pStyle w:val="ListBullet"/>
      </w:pPr>
      <w:r>
        <w:t xml:space="preserve">•  预警数量、等级、超时、闭环率和企业排名；</w:t>
      </w:r>
    </w:p>
    <w:p>
      <w:pPr>
        <w:pStyle w:val="ListBullet"/>
      </w:pPr>
      <w:r>
        <w:t xml:space="preserve">•  数据完整率、设备在线率、计量检定状态和企业数据可信度。</w:t>
      </w:r>
    </w:p>
    <w:p>
      <w:pPr>
        <w:pStyle w:val="Normal"/>
      </w:pPr>
      <w:r>
        <w:t xml:space="preserve">驾驶舱用于总览和下钻，不以装饰性图表替代业务处置。</w:t>
      </w:r>
    </w:p>
    <w:p>
      <w:pPr>
        <w:pStyle w:val="Heading2"/>
      </w:pPr>
      <w:r>
        <w:t xml:space="preserve">10.2 一企一档</w:t>
      </w:r>
    </w:p>
    <w:p>
      <w:pPr>
        <w:pStyle w:val="ListBullet"/>
      </w:pPr>
      <w:r>
        <w:t xml:space="preserve">•  企业基本信息、许可/备案、核定产能、主要产品；</w:t>
      </w:r>
    </w:p>
    <w:p>
      <w:pPr>
        <w:pStyle w:val="ListBullet"/>
      </w:pPr>
      <w:r>
        <w:t xml:space="preserve">•  矿井/场站、出入口、计量点、装车点、库存点、设备台账；</w:t>
      </w:r>
    </w:p>
    <w:p>
      <w:pPr>
        <w:pStyle w:val="ListBullet"/>
      </w:pPr>
      <w:r>
        <w:t xml:space="preserve">•  接口系统、责任人、运维人员、数据报送状态；</w:t>
      </w:r>
    </w:p>
    <w:p>
      <w:pPr>
        <w:pStyle w:val="ListBullet"/>
      </w:pPr>
      <w:r>
        <w:t xml:space="preserve">•  历史产量、外运、库存、结算、预警、整改和检查记录；</w:t>
      </w:r>
    </w:p>
    <w:p>
      <w:pPr>
        <w:pStyle w:val="ListBullet"/>
      </w:pPr>
      <w:r>
        <w:t xml:space="preserve">•  风险等级、数据可信度和近期异常趋势。</w:t>
      </w:r>
    </w:p>
    <w:p>
      <w:pPr>
        <w:pStyle w:val="Heading2"/>
      </w:pPr>
      <w:r>
        <w:t xml:space="preserve">10.3 产量与物料平衡</w:t>
      </w:r>
    </w:p>
    <w:p>
      <w:pPr>
        <w:pStyle w:val="ListBullet"/>
      </w:pPr>
      <w:r>
        <w:t xml:space="preserve">•  原始计量、班次/日/月汇总；</w:t>
      </w:r>
    </w:p>
    <w:p>
      <w:pPr>
        <w:pStyle w:val="ListBullet"/>
      </w:pPr>
      <w:r>
        <w:t xml:space="preserve">•  申报量、核验量和差异趋势；</w:t>
      </w:r>
    </w:p>
    <w:p>
      <w:pPr>
        <w:pStyle w:val="ListBullet"/>
      </w:pPr>
      <w:r>
        <w:t xml:space="preserve">•  原煤、商品煤、副产品、库存和调拨账户；</w:t>
      </w:r>
    </w:p>
    <w:p>
      <w:pPr>
        <w:pStyle w:val="ListBullet"/>
      </w:pPr>
      <w:r>
        <w:t xml:space="preserve">•  数据缺失、补录、冲正和口径变更留痕；</w:t>
      </w:r>
    </w:p>
    <w:p>
      <w:pPr>
        <w:pStyle w:val="ListBullet"/>
      </w:pPr>
      <w:r>
        <w:t xml:space="preserve">•  企业、同区域、同规模横向对比。</w:t>
      </w:r>
    </w:p>
    <w:p>
      <w:pPr>
        <w:pStyle w:val="Heading2"/>
      </w:pPr>
      <w:r>
        <w:t xml:space="preserve">10.4 车辆全链监管</w:t>
      </w:r>
    </w:p>
    <w:p>
      <w:pPr>
        <w:pStyle w:val="ListBullet"/>
      </w:pPr>
      <w:r>
        <w:t xml:space="preserve">•  运单、车辆、驾驶员/承运方、货种、重量、目的地关联；</w:t>
      </w:r>
    </w:p>
    <w:p>
      <w:pPr>
        <w:pStyle w:val="ListBullet"/>
      </w:pPr>
      <w:r>
        <w:t xml:space="preserve">•  进出场抓拍、过磅过程、称重曲线和放行记录；</w:t>
      </w:r>
    </w:p>
    <w:p>
      <w:pPr>
        <w:pStyle w:val="ListBullet"/>
      </w:pPr>
      <w:r>
        <w:t xml:space="preserve">•  实时位置、轨迹回放、围栏、停留和偏航；</w:t>
      </w:r>
    </w:p>
    <w:p>
      <w:pPr>
        <w:pStyle w:val="ListBullet"/>
      </w:pPr>
      <w:r>
        <w:t xml:space="preserve">•  到达核销、收发重量差和运输时效；</w:t>
      </w:r>
    </w:p>
    <w:p>
      <w:pPr>
        <w:pStyle w:val="ListBullet"/>
      </w:pPr>
      <w:r>
        <w:t xml:space="preserve">•  一车一链证据包导出。</w:t>
      </w:r>
    </w:p>
    <w:p>
      <w:pPr>
        <w:pStyle w:val="Heading2"/>
      </w:pPr>
      <w:r>
        <w:t xml:space="preserve">10.5 预警与协同处置</w:t>
      </w:r>
    </w:p>
    <w:p>
      <w:pPr>
        <w:pStyle w:val="Normal"/>
      </w:pPr>
      <w:r>
        <w:t xml:space="preserve">建议流程：</w:t>
      </w:r>
    </w:p>
    <w:p>
      <w:pPr>
        <w:pStyle w:val="Normal"/>
      </w:pPr>
      <w:r>
        <w:rPr>
          <w:rFonts w:ascii="Menlo" w:hAnsi="Menlo" w:eastAsia="Microsoft YaHei"/>
          <w:shd w:val="clear" w:color="auto" w:fill="EDF3F2"/>
          <w:color w:val="204D52"/>
        </w:rPr>
        <w:t xml:space="preserve">自动发现 → 数据完整性检查 → 监管人员初核 → 企业在线说明/补证 → 现场核查或部门协同 → 处理决定 → 整改复核 → 销号归档 → 规则优化</w:t>
      </w:r>
    </w:p>
    <w:p>
      <w:pPr>
        <w:pStyle w:val="Normal"/>
      </w:pPr>
      <w:r>
        <w:t xml:space="preserve">功能包括：</w:t>
      </w:r>
    </w:p>
    <w:p>
      <w:pPr>
        <w:pStyle w:val="ListBullet"/>
      </w:pPr>
      <w:r>
        <w:t xml:space="preserve">•  预警分级、责任处室、处置时限和升级规则；</w:t>
      </w:r>
    </w:p>
    <w:p>
      <w:pPr>
        <w:pStyle w:val="ListBullet"/>
      </w:pPr>
      <w:r>
        <w:t xml:space="preserve">•  工单派发、移动端核查、图片/文书上传；</w:t>
      </w:r>
    </w:p>
    <w:p>
      <w:pPr>
        <w:pStyle w:val="ListBullet"/>
      </w:pPr>
      <w:r>
        <w:t xml:space="preserve">•  企业在线申诉说明和材料提交；</w:t>
      </w:r>
    </w:p>
    <w:p>
      <w:pPr>
        <w:pStyle w:val="ListBullet"/>
      </w:pPr>
      <w:r>
        <w:t xml:space="preserve">•  跨部门协同编号和结果回填；</w:t>
      </w:r>
    </w:p>
    <w:p>
      <w:pPr>
        <w:pStyle w:val="ListBullet"/>
      </w:pPr>
      <w:r>
        <w:t xml:space="preserve">•  超时督办、整改复查、统计报表；</w:t>
      </w:r>
    </w:p>
    <w:p>
      <w:pPr>
        <w:pStyle w:val="ListBullet"/>
      </w:pPr>
      <w:r>
        <w:t xml:space="preserve">•  误报告警标注和算法反馈。</w:t>
      </w:r>
    </w:p>
    <w:p>
      <w:pPr>
        <w:pStyle w:val="Heading2"/>
      </w:pPr>
      <w:r>
        <w:t xml:space="preserve">10.6 移动监管</w:t>
      </w:r>
    </w:p>
    <w:p>
      <w:pPr>
        <w:pStyle w:val="ListBullet"/>
      </w:pPr>
      <w:r>
        <w:t xml:space="preserve">•  企业和站点地图、重点指标和预警；</w:t>
      </w:r>
    </w:p>
    <w:p>
      <w:pPr>
        <w:pStyle w:val="ListBullet"/>
      </w:pPr>
      <w:r>
        <w:t xml:space="preserve">•  扫码查看设备、车辆和过磅记录；</w:t>
      </w:r>
    </w:p>
    <w:p>
      <w:pPr>
        <w:pStyle w:val="ListBullet"/>
      </w:pPr>
      <w:r>
        <w:t xml:space="preserve">•  现场检查清单、拍照录像、定位和电子签名；</w:t>
      </w:r>
    </w:p>
    <w:p>
      <w:pPr>
        <w:pStyle w:val="ListBullet"/>
      </w:pPr>
      <w:r>
        <w:t xml:space="preserve">•  整改派单、复核销号；</w:t>
      </w:r>
    </w:p>
    <w:p>
      <w:pPr>
        <w:pStyle w:val="ListBullet"/>
      </w:pPr>
      <w:r>
        <w:t xml:space="preserve">•  按权限调阅事件视频，不默认开放全量实时视频。</w:t>
      </w:r>
    </w:p>
    <w:p>
      <w:pPr>
        <w:pStyle w:val="Heading2"/>
      </w:pPr>
      <w:r>
        <w:t xml:space="preserve">10.7 数据质量中心</w:t>
      </w:r>
    </w:p>
    <w:p>
      <w:pPr>
        <w:pStyle w:val="Normal"/>
      </w:pPr>
      <w:r>
        <w:t xml:space="preserve">监管数据是否可信，首先取决于设备和链路是否健康。平台应独立建设数据质量中心：</w:t>
      </w:r>
    </w:p>
    <w:p>
      <w:pPr>
        <w:pStyle w:val="ListBullet"/>
      </w:pPr>
      <w:r>
        <w:t xml:space="preserve">•  缺失、重复、延迟、越界、时间倒序、长期固定值；</w:t>
      </w:r>
    </w:p>
    <w:p>
      <w:pPr>
        <w:pStyle w:val="ListBullet"/>
      </w:pPr>
      <w:r>
        <w:t xml:space="preserve">•  仪表值与业务系统值不一致；</w:t>
      </w:r>
    </w:p>
    <w:p>
      <w:pPr>
        <w:pStyle w:val="ListBullet"/>
      </w:pPr>
      <w:r>
        <w:t xml:space="preserve">•  摄像机遮挡、模糊、离线和时间不同步；</w:t>
      </w:r>
    </w:p>
    <w:p>
      <w:pPr>
        <w:pStyle w:val="ListBullet"/>
      </w:pPr>
      <w:r>
        <w:t xml:space="preserve">•  网关断线、重启、存储不足、固件版本异常；</w:t>
      </w:r>
    </w:p>
    <w:p>
      <w:pPr>
        <w:pStyle w:val="ListBullet"/>
      </w:pPr>
      <w:r>
        <w:t xml:space="preserve">•  计量检定即将到期或已过期；</w:t>
      </w:r>
    </w:p>
    <w:p>
      <w:pPr>
        <w:pStyle w:val="ListBullet"/>
      </w:pPr>
      <w:r>
        <w:t xml:space="preserve">•  企业数据完整率和可信度评分。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十一、数据、证据与安全体系</w:t>
      </w:r>
    </w:p>
    <w:p>
      <w:pPr>
        <w:pStyle w:val="Heading2"/>
      </w:pPr>
      <w:r>
        <w:t xml:space="preserve">11.1 核心数据模型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4650"/>
        <w:gridCol w:w="4650"/>
      </w:tblGrid>
      <w:tr>
        <w:trPr>
          <w:cantSplit/>
          <w:tblHeader/>
        </w:trPr>
        <w:tc>
          <w:tcPr>
            <w:tcW w:w="465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数据主题</w:t>
            </w:r>
          </w:p>
        </w:tc>
        <w:tc>
          <w:tcPr>
            <w:tcW w:w="465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关键对象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主体档案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企业、场站、许可证照、产能、责任人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设施设备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地磅、仪表、摄像机、网关、道闸、表计、检定档案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人车档案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车辆、承运方、驾驶员/人员账号、标签、终端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生产计量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原始读数、班次、产量、库存、洗选转换、内部消耗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运输流通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订单、运单、进出场、称重、轨迹、电子铅封、签收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新能源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SCADA、关口表、调度、限电、检修、市场结算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风险处置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规则、预警、证据、工单、复核、整改、销号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系统运维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在线状态、日志、版本、时间同步、数据质量</w:t>
            </w:r>
          </w:p>
        </w:tc>
      </w:tr>
    </w:tbl>
    <w:p>
      <w:pPr>
        <w:pStyle w:val="Heading2"/>
      </w:pPr>
      <w:r>
        <w:t xml:space="preserve">11.2 可信数据和证据链</w:t>
      </w:r>
    </w:p>
    <w:p>
      <w:pPr>
        <w:pStyle w:val="Normal"/>
      </w:pPr>
      <w:r>
        <w:t xml:space="preserve">每条关键业务记录应包含：</w:t>
      </w:r>
    </w:p>
    <w:p>
      <w:pPr>
        <w:pStyle w:val="ListBullet"/>
      </w:pPr>
      <w:r>
        <w:t xml:space="preserve">•  业务唯一编号和原始设备编号；</w:t>
      </w:r>
    </w:p>
    <w:p>
      <w:pPr>
        <w:pStyle w:val="ListBullet"/>
      </w:pPr>
      <w:r>
        <w:t xml:space="preserve">•  采集时间、接收时间、设备时间和统一授时状态；</w:t>
      </w:r>
    </w:p>
    <w:p>
      <w:pPr>
        <w:pStyle w:val="ListBullet"/>
      </w:pPr>
      <w:r>
        <w:t xml:space="preserve">•  原始报文/原始读数、解析值和计算过程；</w:t>
      </w:r>
    </w:p>
    <w:p>
      <w:pPr>
        <w:pStyle w:val="ListBullet"/>
      </w:pPr>
      <w:r>
        <w:t xml:space="preserve">•  关联车牌、RFID、运单、图片、视频和轨迹；</w:t>
      </w:r>
    </w:p>
    <w:p>
      <w:pPr>
        <w:pStyle w:val="ListBullet"/>
      </w:pPr>
      <w:r>
        <w:t xml:space="preserve">•  数据来源、接口版本、网关和设备健康状态；</w:t>
      </w:r>
    </w:p>
    <w:p>
      <w:pPr>
        <w:pStyle w:val="ListBullet"/>
      </w:pPr>
      <w:r>
        <w:t xml:space="preserve">•  哈希校验、数字签名/可信时间戳（按项目安全方案选用）；</w:t>
      </w:r>
    </w:p>
    <w:p>
      <w:pPr>
        <w:pStyle w:val="ListBullet"/>
      </w:pPr>
      <w:r>
        <w:t xml:space="preserve">•  访问、导出、补录、冲正和复核操作日志。</w:t>
      </w:r>
    </w:p>
    <w:p>
      <w:pPr>
        <w:pStyle w:val="Normal"/>
      </w:pPr>
      <w:r>
        <w:t xml:space="preserve">平台采用“追加记录、版本留痕”的方式，原始数据不得被业务人员直接覆盖。证据包导出时同步生成目录、来源说明和校验值。</w:t>
      </w:r>
    </w:p>
    <w:p>
      <w:pPr>
        <w:pStyle w:val="Heading2"/>
      </w:pPr>
      <w:r>
        <w:t xml:space="preserve">11.3 网络与数据安全</w:t>
      </w:r>
    </w:p>
    <w:p>
      <w:pPr>
        <w:pStyle w:val="ListBullet"/>
      </w:pPr>
      <w:r>
        <w:t xml:space="preserve">•  按国家网络安全等级保护制度开展定级、备案、建设整改和测评，建议等级须经正式定级确定；</w:t>
      </w:r>
    </w:p>
    <w:p>
      <w:pPr>
        <w:pStyle w:val="ListBullet"/>
      </w:pPr>
      <w:r>
        <w:t xml:space="preserve">•  政务端和企业端分域、最小权限、双因素认证、堡垒审计；</w:t>
      </w:r>
    </w:p>
    <w:p>
      <w:pPr>
        <w:pStyle w:val="ListBullet"/>
      </w:pPr>
      <w:r>
        <w:t xml:space="preserve">•  链路加密，敏感数据存储加密，密钥集中管理；</w:t>
      </w:r>
    </w:p>
    <w:p>
      <w:pPr>
        <w:pStyle w:val="ListBullet"/>
      </w:pPr>
      <w:r>
        <w:t xml:space="preserve">•  视频、轨迹、身份和商业数据分类分级，设置不同留存期限；</w:t>
      </w:r>
    </w:p>
    <w:p>
      <w:pPr>
        <w:pStyle w:val="ListBullet"/>
      </w:pPr>
      <w:r>
        <w:t xml:space="preserve">•  数据展示脱敏，批量导出审批和水印追踪；</w:t>
      </w:r>
    </w:p>
    <w:p>
      <w:pPr>
        <w:pStyle w:val="ListBullet"/>
      </w:pPr>
      <w:r>
        <w:t xml:space="preserve">•  定期备份、恢复演练、漏洞管理、日志审计和应急响应；</w:t>
      </w:r>
    </w:p>
    <w:p>
      <w:pPr>
        <w:pStyle w:val="ListBullet"/>
      </w:pPr>
      <w:r>
        <w:t xml:space="preserve">•  API 使用身份认证、签名、限流、防重放和调用审计；</w:t>
      </w:r>
    </w:p>
    <w:p>
      <w:pPr>
        <w:pStyle w:val="ListBullet"/>
      </w:pPr>
      <w:r>
        <w:t xml:space="preserve">•  项目退出时提供数据、模型、接口文档和迁移机制，避免厂商锁定。</w:t>
      </w:r>
    </w:p>
    <w:p>
      <w:pPr>
        <w:pStyle w:val="Heading2"/>
      </w:pPr>
      <w:r>
        <w:t xml:space="preserve">11.4 隐私与执法边界</w:t>
      </w:r>
    </w:p>
    <w:p>
      <w:pPr>
        <w:pStyle w:val="ListBullet"/>
      </w:pPr>
      <w:r>
        <w:t xml:space="preserve">•  驾驶员身份信息和轨迹只用于明确的监管目的，不向无关人员展示；</w:t>
      </w:r>
    </w:p>
    <w:p>
      <w:pPr>
        <w:pStyle w:val="ListBullet"/>
      </w:pPr>
      <w:r>
        <w:t xml:space="preserve">•  能以企业账号、车辆标签完成的，不额外采集身份证照片或人脸；</w:t>
      </w:r>
    </w:p>
    <w:p>
      <w:pPr>
        <w:pStyle w:val="ListBullet"/>
      </w:pPr>
      <w:r>
        <w:t xml:space="preserve">•  原始视频常规存储由企业按现行制度负责，监管侧重点留存事件片段；</w:t>
      </w:r>
    </w:p>
    <w:p>
      <w:pPr>
        <w:pStyle w:val="ListBullet"/>
      </w:pPr>
      <w:r>
        <w:t xml:space="preserve">•  AI 告警页面显著标注“待人工复核”，不得自动生成违法结论；</w:t>
      </w:r>
    </w:p>
    <w:p>
      <w:pPr>
        <w:pStyle w:val="ListBullet"/>
      </w:pPr>
      <w:r>
        <w:t xml:space="preserve">•  跨部门共享内容、用途、频率、责任和保存期限形成正式目录。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十二、系统接口与数据共享</w:t>
      </w:r>
    </w:p>
    <w:p>
      <w:pPr>
        <w:pStyle w:val="Heading2"/>
      </w:pPr>
      <w:r>
        <w:t xml:space="preserve">12.1 企业侧接口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系统/设备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推荐接入方式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重点数据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地磅仪表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RS232/RS485、Modbus 或厂商协议，只读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实时重量、稳定标志、零点、设备状态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称重系统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REST/WebService、消息、数据库只读视图、文件交换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磅单、毛重、皮重、净重、操作日志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视频平台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GB/T 28181、ONVIF/RTSP（按安全方案）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实时/回放、抓拍、设备状态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ERP/销售系统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API、消息、数据库视图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订单、运单、货种、客户、结算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库存/生产系统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API、OPC UA/Modbus TCP、文件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产量、仓位、入洗、产出、库存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北斗平台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标准 API/合规平台接口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位置、速度、里程、报警、终端状态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风电/光伏 SCADA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安全隔离后的只读接口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功率、电量、设备状态、告警</w:t>
            </w:r>
          </w:p>
        </w:tc>
      </w:tr>
    </w:tbl>
    <w:p>
      <w:pPr>
        <w:pStyle w:val="Heading2"/>
      </w:pPr>
      <w:r>
        <w:t xml:space="preserve">12.2 部门共享接口</w:t>
      </w:r>
    </w:p>
    <w:p>
      <w:pPr>
        <w:pStyle w:val="Normal"/>
      </w:pPr>
      <w:r>
        <w:t xml:space="preserve">在法定授权和共享目录范围内，可逐步对接：</w:t>
      </w:r>
    </w:p>
    <w:p>
      <w:pPr>
        <w:pStyle w:val="ListBullet"/>
      </w:pPr>
      <w:r>
        <w:t xml:space="preserve">•  政务统一身份认证、电子证照和法人库；</w:t>
      </w:r>
    </w:p>
    <w:p>
      <w:pPr>
        <w:pStyle w:val="ListBullet"/>
      </w:pPr>
      <w:r>
        <w:t xml:space="preserve">•  交通运输车辆/承运资质、北斗动态监管数据；</w:t>
      </w:r>
    </w:p>
    <w:p>
      <w:pPr>
        <w:pStyle w:val="ListBullet"/>
      </w:pPr>
      <w:r>
        <w:t xml:space="preserve">•  公安交管车辆基础信息和重点车辆线索；</w:t>
      </w:r>
    </w:p>
    <w:p>
      <w:pPr>
        <w:pStyle w:val="ListBullet"/>
      </w:pPr>
      <w:r>
        <w:t xml:space="preserve">•  自然资源、应急管理、矿山安全监察相关企业和检查信息；</w:t>
      </w:r>
    </w:p>
    <w:p>
      <w:pPr>
        <w:pStyle w:val="ListBullet"/>
      </w:pPr>
      <w:r>
        <w:t xml:space="preserve">•  市场监管计量检定和主体登记信息；</w:t>
      </w:r>
    </w:p>
    <w:p>
      <w:pPr>
        <w:pStyle w:val="ListBullet"/>
      </w:pPr>
      <w:r>
        <w:t xml:space="preserve">•  税务、发票或结算数据（须按法定程序和最小必要原则）；</w:t>
      </w:r>
    </w:p>
    <w:p>
      <w:pPr>
        <w:pStyle w:val="ListBullet"/>
      </w:pPr>
      <w:r>
        <w:t xml:space="preserve">•  电网、交易中心的计量、调度和结算数据。</w:t>
      </w:r>
    </w:p>
    <w:p>
      <w:pPr>
        <w:pStyle w:val="Normal"/>
      </w:pPr>
      <w:r>
        <w:t xml:space="preserve">一期不以所有跨部门数据到位作为上线前提，先把能源局可依法获取的数据和企业现场数据打通。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十三、项目实施路线</w:t>
      </w:r>
    </w:p>
    <w:p>
      <w:pPr>
        <w:pStyle w:val="Heading2"/>
      </w:pPr>
      <w:r>
        <w:t xml:space="preserve">13.1 第 0 阶段：立项与联合机制（2—3 周）</w:t>
      </w:r>
    </w:p>
    <w:p>
      <w:pPr>
        <w:pStyle w:val="ListBullet"/>
      </w:pPr>
      <w:r>
        <w:t xml:space="preserve">•  明确牵头处室、业务专班、企业责任人和协同部门；</w:t>
      </w:r>
    </w:p>
    <w:p>
      <w:pPr>
        <w:pStyle w:val="ListBullet"/>
      </w:pPr>
      <w:r>
        <w:t xml:space="preserve">•  确认监管权限、数据目录、执法边界和试点企业；</w:t>
      </w:r>
    </w:p>
    <w:p>
      <w:pPr>
        <w:pStyle w:val="ListBullet"/>
      </w:pPr>
      <w:r>
        <w:t xml:space="preserve">•  形成项目章程、需求清单和安全边界。</w:t>
      </w:r>
    </w:p>
    <w:p>
      <w:pPr>
        <w:pStyle w:val="Normal"/>
      </w:pPr>
      <w:r>
        <w:rPr>
          <w:b/>
        </w:rPr>
        <w:t xml:space="preserve">输出：</w:t>
      </w:r>
      <w:r>
        <w:t xml:space="preserve"> 项目章程、调研表、数据责任矩阵、试点名单。</w:t>
      </w:r>
    </w:p>
    <w:p>
      <w:pPr>
        <w:pStyle w:val="Heading2"/>
      </w:pPr>
      <w:r>
        <w:t xml:space="preserve">13.2 第一阶段：现场调研与蓝图设计（3—4 周）</w:t>
      </w:r>
    </w:p>
    <w:p>
      <w:pPr>
        <w:pStyle w:val="ListBullet"/>
      </w:pPr>
      <w:r>
        <w:t xml:space="preserve">•  盘点地磅、摄像机、网络、称重系统、ERP、SCADA 和计量检定情况；</w:t>
      </w:r>
    </w:p>
    <w:p>
      <w:pPr>
        <w:pStyle w:val="ListBullet"/>
      </w:pPr>
      <w:r>
        <w:t xml:space="preserve">•  走查所有出入口、备用道路、装车点和库存点；</w:t>
      </w:r>
    </w:p>
    <w:p>
      <w:pPr>
        <w:pStyle w:val="ListBullet"/>
      </w:pPr>
      <w:r>
        <w:t xml:space="preserve">•  建立企业物料流图和计量点位图；</w:t>
      </w:r>
    </w:p>
    <w:p>
      <w:pPr>
        <w:pStyle w:val="ListBullet"/>
      </w:pPr>
      <w:r>
        <w:t xml:space="preserve">•  完成接口测试、图像质量测试和数据基线评估。</w:t>
      </w:r>
    </w:p>
    <w:p>
      <w:pPr>
        <w:pStyle w:val="Normal"/>
      </w:pPr>
      <w:r>
        <w:rPr>
          <w:b/>
        </w:rPr>
        <w:t xml:space="preserve">输出：</w:t>
      </w:r>
      <w:r>
        <w:t xml:space="preserve"> 一企一策、点位表、接口表、网络安全设计、详细预算、验收基线。</w:t>
      </w:r>
    </w:p>
    <w:p>
      <w:pPr>
        <w:pStyle w:val="Heading2"/>
      </w:pPr>
      <w:r>
        <w:t xml:space="preserve">13.3 第二阶段：试点建设（8—10 周）</w:t>
      </w:r>
    </w:p>
    <w:p>
      <w:pPr>
        <w:pStyle w:val="ListBullet"/>
      </w:pPr>
      <w:r>
        <w:t xml:space="preserve">•  建设能源局监管平台和企业边缘节点；</w:t>
      </w:r>
    </w:p>
    <w:p>
      <w:pPr>
        <w:pStyle w:val="ListBullet"/>
      </w:pPr>
      <w:r>
        <w:t xml:space="preserve">•  接入 3 家煤矿、2 家新能源场站；</w:t>
      </w:r>
    </w:p>
    <w:p>
      <w:pPr>
        <w:pStyle w:val="ListBullet"/>
      </w:pPr>
      <w:r>
        <w:t xml:space="preserve">•  上线称重、车辆、物料平衡、新能源三账核验和预警闭环；</w:t>
      </w:r>
    </w:p>
    <w:p>
      <w:pPr>
        <w:pStyle w:val="ListBullet"/>
      </w:pPr>
      <w:r>
        <w:t xml:space="preserve">•  采集真实数据，校准规则阈值和模型。</w:t>
      </w:r>
    </w:p>
    <w:p>
      <w:pPr>
        <w:pStyle w:val="Normal"/>
      </w:pPr>
      <w:r>
        <w:rPr>
          <w:b/>
        </w:rPr>
        <w:t xml:space="preserve">输出：</w:t>
      </w:r>
      <w:r>
        <w:t xml:space="preserve"> 试点系统、接口文档、培训材料、初验报告。</w:t>
      </w:r>
    </w:p>
    <w:p>
      <w:pPr>
        <w:pStyle w:val="Heading2"/>
      </w:pPr>
      <w:r>
        <w:t xml:space="preserve">13.4 第三阶段：试运行与验收（4 周）</w:t>
      </w:r>
    </w:p>
    <w:p>
      <w:pPr>
        <w:pStyle w:val="ListBullet"/>
      </w:pPr>
      <w:r>
        <w:t xml:space="preserve">•  连续试运行，统计数据完整率、AI 效果和告警闭环率；</w:t>
      </w:r>
    </w:p>
    <w:p>
      <w:pPr>
        <w:pStyle w:val="ListBullet"/>
      </w:pPr>
      <w:r>
        <w:t xml:space="preserve">•  开展断网补传、设备离线、时间同步、权限和安全测试；</w:t>
      </w:r>
    </w:p>
    <w:p>
      <w:pPr>
        <w:pStyle w:val="ListBullet"/>
      </w:pPr>
      <w:r>
        <w:t xml:space="preserve">•  按企业形成核验报告，修正业务口径；</w:t>
      </w:r>
    </w:p>
    <w:p>
      <w:pPr>
        <w:pStyle w:val="ListBullet"/>
      </w:pPr>
      <w:r>
        <w:t xml:space="preserve">•  完成第三方测评/计量核验等项目约定工作。</w:t>
      </w:r>
    </w:p>
    <w:p>
      <w:pPr>
        <w:pStyle w:val="Normal"/>
      </w:pPr>
      <w:r>
        <w:rPr>
          <w:b/>
        </w:rPr>
        <w:t xml:space="preserve">输出：</w:t>
      </w:r>
      <w:r>
        <w:t xml:space="preserve"> 试运行报告、问题整改清单、验收报告、运维手册。</w:t>
      </w:r>
    </w:p>
    <w:p>
      <w:pPr>
        <w:pStyle w:val="Heading2"/>
      </w:pPr>
      <w:r>
        <w:t xml:space="preserve">13.5 第四阶段：全域推广（3—12 个月）</w:t>
      </w:r>
    </w:p>
    <w:p>
      <w:pPr>
        <w:pStyle w:val="ListBullet"/>
      </w:pPr>
      <w:r>
        <w:t xml:space="preserve">•  按风险、规模和数据基础分批接入辖区企业；</w:t>
      </w:r>
    </w:p>
    <w:p>
      <w:pPr>
        <w:pStyle w:val="ListBullet"/>
      </w:pPr>
      <w:r>
        <w:t xml:space="preserve">•  形成轻量接入、标准监管、加强监管三类企业模板；</w:t>
      </w:r>
    </w:p>
    <w:p>
      <w:pPr>
        <w:pStyle w:val="ListBullet"/>
      </w:pPr>
      <w:r>
        <w:t xml:space="preserve">•  建设跨部门共享和联合处置；</w:t>
      </w:r>
    </w:p>
    <w:p>
      <w:pPr>
        <w:pStyle w:val="ListBullet"/>
      </w:pPr>
      <w:r>
        <w:t xml:space="preserve">•  按月复盘规则、数据质量和企业整改效果。</w:t>
      </w:r>
    </w:p>
    <w:p>
      <w:pPr>
        <w:pStyle w:val="Heading2"/>
      </w:pPr>
      <w:r>
        <w:t xml:space="preserve">13.6 试点选点原则</w:t>
      </w:r>
    </w:p>
    <w:p>
      <w:pPr>
        <w:pStyle w:val="ListBullet"/>
      </w:pPr>
      <w:r>
        <w:t xml:space="preserve">•  1 家信息化基础好、配合度高的示范煤矿；</w:t>
      </w:r>
    </w:p>
    <w:p>
      <w:pPr>
        <w:pStyle w:val="ListBullet"/>
      </w:pPr>
      <w:r>
        <w:t xml:space="preserve">•  1 家既有地磅系统较老、具有改造代表性的煤矿；</w:t>
      </w:r>
    </w:p>
    <w:p>
      <w:pPr>
        <w:pStyle w:val="ListBullet"/>
      </w:pPr>
      <w:r>
        <w:t xml:space="preserve">•  1 家运输路径复杂或监管风险较高的煤矿；</w:t>
      </w:r>
    </w:p>
    <w:p>
      <w:pPr>
        <w:pStyle w:val="ListBullet"/>
      </w:pPr>
      <w:r>
        <w:t xml:space="preserve">•  1 家风电场、1 家光伏电站，验证不同 SCADA/计量接口；</w:t>
      </w:r>
    </w:p>
    <w:p>
      <w:pPr>
        <w:pStyle w:val="ListBullet"/>
      </w:pPr>
      <w:r>
        <w:t xml:space="preserve">•  试点企业应覆盖至少两类地磅仪表、两类称重软件和不同网络条件。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十四、投资估算与建设模式</w:t>
      </w:r>
    </w:p>
    <w:p>
      <w:pPr>
        <w:pStyle w:val="Heading2"/>
      </w:pPr>
      <w:r>
        <w:t xml:space="preserve">14.1 试点预算建议</w:t>
      </w:r>
    </w:p>
    <w:p>
      <w:pPr>
        <w:pStyle w:val="Normal"/>
      </w:pPr>
      <w:r>
        <w:t xml:space="preserve">以下为未开展现场勘查前的方案级估算，单位为人民币万元，不作为最终报价：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建设项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参考区间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说明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监管平台基础软件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70—120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企业档案、IoT 接入、产量核验、车辆、预警、工单、大屏、移动端基础功能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AI 分析与证据模块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30—70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规则、视觉/时序模型、证据包、模型运营，按场景和路数核定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私有化部署与安全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20—45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服务器/云资源、数据库、中间件、安全加固；不含法定第三方测评费用时需单列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3 家煤矿标准接入改造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90—180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每站约 30—60，复用合格地磅和部分视频；新地磅、土建另计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2 家新能源场站接入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15—30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取决于 SCADA、安全隔离和接口开放条件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实施、联调、培训与试运行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35—75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调研、接口、数据治理、规则校准、培训和项目管理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202A33"/>
              </w:rPr>
              <w:t xml:space="preserve">试点合计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202A33"/>
              </w:rPr>
              <w:t xml:space="preserve">约 260—520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不含大规模新建地磅、道路土建、全量车辆终端、专线和跨部门接口收费</w:t>
            </w:r>
          </w:p>
        </w:tc>
      </w:tr>
    </w:tbl>
    <w:p>
      <w:pPr>
        <w:pStyle w:val="Normal"/>
      </w:pPr>
      <w:r>
        <w:t xml:space="preserve">影响成本的关键变量：企业数量、地磅数量、视频路数、既有系统开放程度、车辆规模、数据中心要求、信创适配、安全测评和定制报表数量。</w:t>
      </w:r>
    </w:p>
    <w:p>
      <w:pPr>
        <w:pStyle w:val="Heading2"/>
      </w:pPr>
      <w:r>
        <w:t xml:space="preserve">14.2 单站分级模板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2325"/>
        <w:gridCol w:w="2325"/>
        <w:gridCol w:w="2325"/>
        <w:gridCol w:w="2325"/>
      </w:tblGrid>
      <w:tr>
        <w:trPr>
          <w:cantSplit/>
          <w:tblHeader/>
        </w:trPr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模板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适用企业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典型建设内容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参考投资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轻量接入型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已有成熟无人值守称重和视频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网关、接口、数据治理、平台接入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8—20 万/站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标准监管型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有地磅但缺少多源核验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双因子车辆识别、防作弊补点、边缘网关、平台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30—70 万/站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加强监管型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出入口复杂、风险高或基础薄弱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多通道视频、备用道路、轨迹/铅封、边缘 AI、冗余链路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70—160 万/站</w:t>
            </w:r>
          </w:p>
        </w:tc>
      </w:tr>
    </w:tbl>
    <w:p>
      <w:pPr>
        <w:pStyle w:val="Normal"/>
      </w:pPr>
      <w:r>
        <w:t xml:space="preserve">上述区间不含新建大吨位地磅、土建、矿用防爆设备及大规模网络改造。</w:t>
      </w:r>
    </w:p>
    <w:p>
      <w:pPr>
        <w:pStyle w:val="Heading2"/>
      </w:pPr>
      <w:r>
        <w:t xml:space="preserve">14.3 建设与付费模式</w:t>
      </w:r>
    </w:p>
    <w:p>
      <w:pPr>
        <w:pStyle w:val="ListBullet"/>
      </w:pPr>
      <w:r>
        <w:t xml:space="preserve">•  </w:t>
      </w:r>
      <w:r>
        <w:rPr>
          <w:b/>
        </w:rPr>
        <w:t xml:space="preserve">财政建设、统一监管：</w:t>
      </w:r>
      <w:r>
        <w:t xml:space="preserve"> 能源局建设区域平台，企业按标准完成现场改造；</w:t>
      </w:r>
    </w:p>
    <w:p>
      <w:pPr>
        <w:pStyle w:val="ListBullet"/>
      </w:pPr>
      <w:r>
        <w:t xml:space="preserve">•  </w:t>
      </w:r>
      <w:r>
        <w:rPr>
          <w:b/>
        </w:rPr>
        <w:t xml:space="preserve">平台统建、企业接入：</w:t>
      </w:r>
      <w:r>
        <w:t xml:space="preserve"> 平台由政府统建，现场设备由企业自建并通过验收；</w:t>
      </w:r>
    </w:p>
    <w:p>
      <w:pPr>
        <w:pStyle w:val="ListBullet"/>
      </w:pPr>
      <w:r>
        <w:t xml:space="preserve">•  </w:t>
      </w:r>
      <w:r>
        <w:rPr>
          <w:b/>
        </w:rPr>
        <w:t xml:space="preserve">试点服务 + 分批采购：</w:t>
      </w:r>
      <w:r>
        <w:t xml:space="preserve"> 先以小范围验证价值，再按接入企业数量扩容；</w:t>
      </w:r>
    </w:p>
    <w:p>
      <w:pPr>
        <w:pStyle w:val="ListBullet"/>
      </w:pPr>
      <w:r>
        <w:t xml:space="preserve">•  </w:t>
      </w:r>
      <w:r>
        <w:rPr>
          <w:b/>
        </w:rPr>
        <w:t xml:space="preserve">建设 + 持续运营：</w:t>
      </w:r>
      <w:r>
        <w:t xml:space="preserve"> 建设期交付平台，后续按年提供设备巡检、数据质量和模型运营服务。</w:t>
      </w:r>
    </w:p>
    <w:p>
      <w:pPr>
        <w:pStyle w:val="Normal"/>
      </w:pPr>
      <w:r>
        <w:t xml:space="preserve">建议年度运维费用按实际设备、接口和服务范围核算，可参考软件与边缘建设合同额的 8%—15%，但须明确驻场、备件、短信/地图、云资源、算法升级和第三方服务是否包含。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十五、组织、运营与责任机制</w:t>
      </w:r>
    </w:p>
    <w:p>
      <w:pPr>
        <w:pStyle w:val="Heading2"/>
      </w:pPr>
      <w:r>
        <w:t xml:space="preserve">15.1 建议组织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4650"/>
        <w:gridCol w:w="4650"/>
      </w:tblGrid>
      <w:tr>
        <w:trPr>
          <w:cantSplit/>
          <w:tblHeader/>
        </w:trPr>
        <w:tc>
          <w:tcPr>
            <w:tcW w:w="465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角色</w:t>
            </w:r>
          </w:p>
        </w:tc>
        <w:tc>
          <w:tcPr>
            <w:tcW w:w="465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主要职责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能源局项目领导组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决策、资源协调、重大事项审定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业务牵头处室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监管规则、试点组织、预警复核、考核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数据/信息化部门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架构、安全、数据共享、运维监督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法制与相关执法部门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权限、程序、证据和联合处置审核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试点企业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设备接入、数据真实性、现场维护、异常说明和整改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通微及集成伙伴</w:t>
            </w:r>
          </w:p>
        </w:tc>
        <w:tc>
          <w:tcPr>
            <w:tcW w:w="465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方案、平台、网关、接口、实施、培训和持续运营</w:t>
            </w:r>
          </w:p>
        </w:tc>
      </w:tr>
      <w:tr>
        <w:trPr>
          <w:cantSplit/>
        </w:trPr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第三方机构</w:t>
            </w:r>
          </w:p>
        </w:tc>
        <w:tc>
          <w:tcPr>
            <w:tcW w:w="465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计量检定、安全测评、等保测评或专项评估</w:t>
            </w:r>
          </w:p>
        </w:tc>
      </w:tr>
    </w:tbl>
    <w:p>
      <w:pPr>
        <w:pStyle w:val="Heading2"/>
      </w:pPr>
      <w:r>
        <w:t xml:space="preserve">15.2 数据责任原则</w:t>
      </w:r>
    </w:p>
    <w:p>
      <w:pPr>
        <w:pStyle w:val="ListBullet"/>
      </w:pPr>
      <w:r>
        <w:t xml:space="preserve">•  企业对源头业务和设备运行数据真实性承担主体责任；</w:t>
      </w:r>
    </w:p>
    <w:p>
      <w:pPr>
        <w:pStyle w:val="ListBullet"/>
      </w:pPr>
      <w:r>
        <w:t xml:space="preserve">•  平台对采集、传输、处理过程的完整性和可追溯性负责；</w:t>
      </w:r>
    </w:p>
    <w:p>
      <w:pPr>
        <w:pStyle w:val="ListBullet"/>
      </w:pPr>
      <w:r>
        <w:t xml:space="preserve">•  能源局对数据使用范围、账号授权和监管处置负责；</w:t>
      </w:r>
    </w:p>
    <w:p>
      <w:pPr>
        <w:pStyle w:val="ListBullet"/>
      </w:pPr>
      <w:r>
        <w:t xml:space="preserve">•  第三方服务商不得擅自复制、分析或对外提供监管数据；</w:t>
      </w:r>
    </w:p>
    <w:p>
      <w:pPr>
        <w:pStyle w:val="ListBullet"/>
      </w:pPr>
      <w:r>
        <w:t xml:space="preserve">•  所有补录、冲正和口径调整必须注明原因、操作人和审批记录。</w:t>
      </w:r>
    </w:p>
    <w:p>
      <w:pPr>
        <w:pStyle w:val="Heading2"/>
      </w:pPr>
      <w:r>
        <w:t xml:space="preserve">15.3 持续运营内容</w:t>
      </w:r>
    </w:p>
    <w:p>
      <w:pPr>
        <w:pStyle w:val="ListBullet"/>
      </w:pPr>
      <w:r>
        <w:t xml:space="preserve">•  日巡设备在线、数据延迟和接口异常；</w:t>
      </w:r>
    </w:p>
    <w:p>
      <w:pPr>
        <w:pStyle w:val="ListBullet"/>
      </w:pPr>
      <w:r>
        <w:t xml:space="preserve">•  周复盘高频告警、误报和未闭环事项；</w:t>
      </w:r>
    </w:p>
    <w:p>
      <w:pPr>
        <w:pStyle w:val="ListBullet"/>
      </w:pPr>
      <w:r>
        <w:t xml:space="preserve">•  月度企业数据质量、产销存偏差和风险排名；</w:t>
      </w:r>
    </w:p>
    <w:p>
      <w:pPr>
        <w:pStyle w:val="ListBullet"/>
      </w:pPr>
      <w:r>
        <w:t xml:space="preserve">•  季度模型效果、账号权限、安全漏洞和备份恢复检查；</w:t>
      </w:r>
    </w:p>
    <w:p>
      <w:pPr>
        <w:pStyle w:val="ListBullet"/>
      </w:pPr>
      <w:r>
        <w:t xml:space="preserve">•  年度规则库、数据目录、留存策略和应急预案评审。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十六、预期成效与评估方法</w:t>
      </w:r>
    </w:p>
    <w:p>
      <w:pPr>
        <w:pStyle w:val="Heading2"/>
      </w:pPr>
      <w:r>
        <w:t xml:space="preserve">16.1 监管成效</w:t>
      </w:r>
    </w:p>
    <w:p>
      <w:pPr>
        <w:pStyle w:val="ListBullet"/>
      </w:pPr>
      <w:r>
        <w:t xml:space="preserve">•  从企业月报向班次/日级核验转变；</w:t>
      </w:r>
    </w:p>
    <w:p>
      <w:pPr>
        <w:pStyle w:val="ListBullet"/>
      </w:pPr>
      <w:r>
        <w:t xml:space="preserve">•  从单一报表向现场计量、车辆、视频、库存和结算互证转变；</w:t>
      </w:r>
    </w:p>
    <w:p>
      <w:pPr>
        <w:pStyle w:val="ListBullet"/>
      </w:pPr>
      <w:r>
        <w:t xml:space="preserve">•  从事后抽查向风险排序、重点核查转变；</w:t>
      </w:r>
    </w:p>
    <w:p>
      <w:pPr>
        <w:pStyle w:val="ListBullet"/>
      </w:pPr>
      <w:r>
        <w:t xml:space="preserve">•  从电话/纸面流转向线上闭环和全过程留痕转变；</w:t>
      </w:r>
    </w:p>
    <w:p>
      <w:pPr>
        <w:pStyle w:val="ListBullet"/>
      </w:pPr>
      <w:r>
        <w:t xml:space="preserve">•  从单矿系统向区域统一标准和企业横向比较转变。</w:t>
      </w:r>
    </w:p>
    <w:p>
      <w:pPr>
        <w:pStyle w:val="Heading2"/>
      </w:pPr>
      <w:r>
        <w:t xml:space="preserve">16.2 企业成效</w:t>
      </w:r>
    </w:p>
    <w:p>
      <w:pPr>
        <w:pStyle w:val="ListBullet"/>
      </w:pPr>
      <w:r>
        <w:t xml:space="preserve">•  减少手工录单、错单和重复核对；</w:t>
      </w:r>
    </w:p>
    <w:p>
      <w:pPr>
        <w:pStyle w:val="ListBullet"/>
      </w:pPr>
      <w:r>
        <w:t xml:space="preserve">•  提高车辆周转和称重作业效率；</w:t>
      </w:r>
    </w:p>
    <w:p>
      <w:pPr>
        <w:pStyle w:val="ListBullet"/>
      </w:pPr>
      <w:r>
        <w:t xml:space="preserve">•  降低称重作弊、冒名运输和货物异常损失；</w:t>
      </w:r>
    </w:p>
    <w:p>
      <w:pPr>
        <w:pStyle w:val="ListBullet"/>
      </w:pPr>
      <w:r>
        <w:t xml:space="preserve">•  统一设备、计量、订单和运维数据；</w:t>
      </w:r>
    </w:p>
    <w:p>
      <w:pPr>
        <w:pStyle w:val="ListBullet"/>
      </w:pPr>
      <w:r>
        <w:t xml:space="preserve">•  形成可向监管部门可信报送的数据接口。</w:t>
      </w:r>
    </w:p>
    <w:p>
      <w:pPr>
        <w:pStyle w:val="Heading2"/>
      </w:pPr>
      <w:r>
        <w:t xml:space="preserve">16.3 成效不预设虚假比例</w:t>
      </w:r>
    </w:p>
    <w:p>
      <w:pPr>
        <w:pStyle w:val="Normal"/>
      </w:pPr>
      <w:r>
        <w:t xml:space="preserve">在没有试点基线前，不建议在汇报中承诺“减少偷运 XX%”“增加税收 XX 万元”等无法证明的数字。试点应先测量：</w:t>
      </w:r>
    </w:p>
    <w:p>
      <w:pPr>
        <w:pStyle w:val="ListBullet"/>
      </w:pPr>
      <w:r>
        <w:t xml:space="preserve">•  当前人工填报工时、数据延迟和错漏率；</w:t>
      </w:r>
    </w:p>
    <w:p>
      <w:pPr>
        <w:pStyle w:val="ListBullet"/>
      </w:pPr>
      <w:r>
        <w:t xml:space="preserve">•  未关联运单的过磅数量；</w:t>
      </w:r>
    </w:p>
    <w:p>
      <w:pPr>
        <w:pStyle w:val="ListBullet"/>
      </w:pPr>
      <w:r>
        <w:t xml:space="preserve">•  皮重异常、路线异常和数据中断频率；</w:t>
      </w:r>
    </w:p>
    <w:p>
      <w:pPr>
        <w:pStyle w:val="ListBullet"/>
      </w:pPr>
      <w:r>
        <w:t xml:space="preserve">•  监管抽查人次、平均核查时长和闭环周期；</w:t>
      </w:r>
    </w:p>
    <w:p>
      <w:pPr>
        <w:pStyle w:val="ListBullet"/>
      </w:pPr>
      <w:r>
        <w:t xml:space="preserve">•  生产、外运、库存、结算的历史偏差。</w:t>
      </w:r>
    </w:p>
    <w:p>
      <w:pPr>
        <w:pStyle w:val="Normal"/>
      </w:pPr>
      <w:r>
        <w:t xml:space="preserve">验收后再用前后对比形成可公开的项目成效。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十七、面向能源局的推广策略</w:t>
      </w:r>
    </w:p>
    <w:p>
      <w:pPr>
        <w:pStyle w:val="Heading2"/>
      </w:pPr>
      <w:r>
        <w:t xml:space="preserve">17.1 核心表达</w:t>
      </w:r>
    </w:p>
    <w:p>
      <w:pPr>
        <w:pStyle w:val="Normal"/>
      </w:pPr>
      <w:r>
        <w:t xml:space="preserve">建议销售沟通从监管问题出发，不先讲设备型号：</w:t>
      </w:r>
    </w:p>
    <w:p>
      <w:pPr>
        <w:pStyle w:val="Quote"/>
      </w:pPr>
      <w:r>
        <w:t xml:space="preserve">我们不是再做一套企业填报系统，而是把地磅、车辆、视频、库存和新能源计量数据在现场可信采集，通过多源核验主动发现异常，再把核查整改全过程留痕。先用 3 家煤矿和 2 家新能源场站验证，再按统一标准覆盖全辖区。</w:t>
      </w:r>
    </w:p>
    <w:p>
      <w:pPr>
        <w:pStyle w:val="Heading2"/>
      </w:pPr>
      <w:r>
        <w:t xml:space="preserve">17.2 面向不同对象的价值表达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沟通对象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关注点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推荐表达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局领导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底数、风险、成效、可复制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一图掌握辖区产量和流向，高风险企业优先核查，试点可量化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业务处室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数据准确、处置效率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每条异常有原因、有原始数据、有企业说明、有销号记录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信息化部门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架构、安全、接口、运维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私有化、只读接入、统一标准、断网缓存、全程审计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法制/执法人员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权限、证据和误报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AI 只提供线索，原始数据和设备状态可核验，人工依法定性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企业负责人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改造成本、生产影响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复用已有设备，不影响生产，减少人工称重和重复报送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财政/评审专家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必要性、预算、绩效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分阶段建设、明确基线、指标可验收、按站复制控制成本</w:t>
            </w:r>
          </w:p>
        </w:tc>
      </w:tr>
    </w:tbl>
    <w:p>
      <w:pPr>
        <w:pStyle w:val="Heading2"/>
      </w:pPr>
      <w:r>
        <w:t xml:space="preserve">17.3 推荐推进动作</w:t>
      </w:r>
    </w:p>
    <w:p>
      <w:pPr>
        <w:pStyle w:val="ListNumber"/>
      </w:pPr>
      <w:r>
        <w:t xml:space="preserve">1.  组织一次“辖区能源产量与流通监管闭门研讨”，邀请能源局业务、信息化、法制及 2—3 家企业参加。</w:t>
      </w:r>
    </w:p>
    <w:p>
      <w:pPr>
        <w:pStyle w:val="ListNumber"/>
      </w:pPr>
      <w:r>
        <w:t xml:space="preserve">2.  用 1 家煤矿真实历史磅单做脱敏分析，展示皮重离群、重复过磅、夜间高频和产销存偏差，不先销售大平台。</w:t>
      </w:r>
    </w:p>
    <w:p>
      <w:pPr>
        <w:pStyle w:val="ListNumber"/>
      </w:pPr>
      <w:r>
        <w:t xml:space="preserve">3.  提供免费/低成本的现场诊断：地磅、出入口、网络、系统接口和数据质量五张清单。</w:t>
      </w:r>
    </w:p>
    <w:p>
      <w:pPr>
        <w:pStyle w:val="ListNumber"/>
      </w:pPr>
      <w:r>
        <w:t xml:space="preserve">4.  形成 3+2 试点建议书，明确 120 天内可验收的指标和不做事项。</w:t>
      </w:r>
    </w:p>
    <w:p>
      <w:pPr>
        <w:pStyle w:val="ListNumber"/>
      </w:pPr>
      <w:r>
        <w:t xml:space="preserve">5.  试点验收后形成案例白皮书、标准接入规范和单站模板，在同一区域分批复制。</w:t>
      </w:r>
    </w:p>
    <w:p>
      <w:pPr>
        <w:pStyle w:val="Heading2"/>
      </w:pPr>
      <w:r>
        <w:t xml:space="preserve">17.4 首次汇报建议议程（45 分钟）</w:t>
      </w:r>
    </w:p>
    <w:p>
      <w:pPr>
        <w:pStyle w:val="ListBullet"/>
      </w:pPr>
      <w:r>
        <w:t xml:space="preserve">•  5 分钟：辖区监管问题与业务口径；</w:t>
      </w:r>
    </w:p>
    <w:p>
      <w:pPr>
        <w:pStyle w:val="ListBullet"/>
      </w:pPr>
      <w:r>
        <w:t xml:space="preserve">•  8 分钟：煤矿一车一链闭环演示；</w:t>
      </w:r>
    </w:p>
    <w:p>
      <w:pPr>
        <w:pStyle w:val="ListBullet"/>
      </w:pPr>
      <w:r>
        <w:t xml:space="preserve">•  5 分钟：为什么出库量不等于产量，如何做物料平衡；</w:t>
      </w:r>
    </w:p>
    <w:p>
      <w:pPr>
        <w:pStyle w:val="ListBullet"/>
      </w:pPr>
      <w:r>
        <w:t xml:space="preserve">•  5 分钟：风电/光伏三账核验；</w:t>
      </w:r>
    </w:p>
    <w:p>
      <w:pPr>
        <w:pStyle w:val="ListBullet"/>
      </w:pPr>
      <w:r>
        <w:t xml:space="preserve">•  7 分钟：异常预警到整改销号；</w:t>
      </w:r>
    </w:p>
    <w:p>
      <w:pPr>
        <w:pStyle w:val="ListBullet"/>
      </w:pPr>
      <w:r>
        <w:t xml:space="preserve">•  5 分钟：数据安全、隐私和执法边界；</w:t>
      </w:r>
    </w:p>
    <w:p>
      <w:pPr>
        <w:pStyle w:val="ListBullet"/>
      </w:pPr>
      <w:r>
        <w:t xml:space="preserve">•  5 分钟：3+2 试点计划、投资和验收指标；</w:t>
      </w:r>
    </w:p>
    <w:p>
      <w:pPr>
        <w:pStyle w:val="ListBullet"/>
      </w:pPr>
      <w:r>
        <w:t xml:space="preserve">•  5 分钟：讨论试点企业和现有数据条件。</w:t>
      </w:r>
    </w:p>
    <w:p>
      <w:pPr>
        <w:pStyle w:val="Heading2"/>
      </w:pPr>
      <w:r>
        <w:t xml:space="preserve">17.5 通微的项目定位</w:t>
      </w:r>
    </w:p>
    <w:p>
      <w:pPr>
        <w:pStyle w:val="Normal"/>
      </w:pPr>
      <w:r>
        <w:t xml:space="preserve">通微适合作为 AIoT 现场接入、边缘智能、监管平台和应用集成方，发挥以下能力：</w:t>
      </w:r>
    </w:p>
    <w:p>
      <w:pPr>
        <w:pStyle w:val="ListBullet"/>
      </w:pPr>
      <w:r>
        <w:t xml:space="preserve">•  SG/BEC 工业网关和扩展模块承接多协议、多点位、断网缓存和边缘联动；</w:t>
      </w:r>
    </w:p>
    <w:p>
      <w:pPr>
        <w:pStyle w:val="ListBullet"/>
      </w:pPr>
      <w:r>
        <w:t xml:space="preserve">•  AIoT 平台承接设备、告警、报表、大屏、工单和移动监管；</w:t>
      </w:r>
    </w:p>
    <w:p>
      <w:pPr>
        <w:pStyle w:val="ListBullet"/>
      </w:pPr>
      <w:r>
        <w:t xml:space="preserve">•  云端、本地私有化、开放 API 和客户既有系统对接；</w:t>
      </w:r>
    </w:p>
    <w:p>
      <w:pPr>
        <w:pStyle w:val="ListBullet"/>
      </w:pPr>
      <w:r>
        <w:t xml:space="preserve">•  按试点快速定制协议、规则、页面和行业应用逻辑；</w:t>
      </w:r>
    </w:p>
    <w:p>
      <w:pPr>
        <w:pStyle w:val="ListBullet"/>
      </w:pPr>
      <w:r>
        <w:t xml:space="preserve">•  联合计量、视频、北斗、电子铅封和安全厂商形成完整交付。</w:t>
      </w:r>
    </w:p>
    <w:p>
      <w:pPr>
        <w:pStyle w:val="Normal"/>
      </w:pPr>
      <w:r>
        <w:t xml:space="preserve">销售承诺应以最新规格书、项目技术确认单和第三方产品证明为准，特别是防爆、矿安、计量精度、视频识别效果、定位精度和等保要求。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十八、主要风险与应对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3100"/>
        <w:gridCol w:w="3100"/>
        <w:gridCol w:w="3100"/>
      </w:tblGrid>
      <w:tr>
        <w:trPr>
          <w:cantSplit/>
          <w:tblHeader/>
        </w:trPr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风险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表现</w:t>
            </w:r>
          </w:p>
        </w:tc>
        <w:tc>
          <w:tcPr>
            <w:tcW w:w="3100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应对措施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监管口径不一致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产量、商品煤、库存、损耗定义不同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调研期形成企业物料流图和口径字典，报表显示来源和版本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企业系统不开放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厂商接口收费或无文档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先做仪表/边缘直采，合同明确接口责任和数据权属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设备老旧或不合规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地磅无有效检定、摄像机画质差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先做设备健康评估，分复用、维修、补建三类处理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偷运绕开监控点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备用道路、临时装车点未覆盖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现场全路径走查，结合周界视频、流动布控和轨迹核验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AI 误报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粉尘、夜间、遮挡影响识别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规则优先、现场标定、人工复核、持续统计误报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数据造假转移到源头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只接企业加工后的业务数据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仪表原始值与业务值双采集，多源对账，操作日志留痕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生产安全影响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监管系统误控制企业设备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默认只读、网络隔离、故障不影响生产，联动单独审批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隐私与商业秘密风险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轨迹、身份、价格数据过度采集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最小必要、分类分级、脱敏、留存期限和导出审批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多部门协同困难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线索无法流转或重复检查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明确牵头部门、协同目录、处置时限和结果反馈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项目建成后无人运营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设备离线、规则失效、告警堆积</w:t>
            </w:r>
          </w:p>
        </w:tc>
        <w:tc>
          <w:tcPr>
            <w:tcW w:w="3100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设数据质量岗和模型运营机制，将闭环率纳入考核</w:t>
            </w:r>
          </w:p>
        </w:tc>
      </w:tr>
      <w:tr>
        <w:trPr>
          <w:cantSplit/>
        </w:trPr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厂商锁定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接口封闭、历史数据难迁移</w:t>
            </w:r>
          </w:p>
        </w:tc>
        <w:tc>
          <w:tcPr>
            <w:tcW w:w="3100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开放接口、数据可导出、源代码/文档按合同约定、退出机制</w:t>
            </w:r>
          </w:p>
        </w:tc>
      </w:tr>
    </w:tbl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十九、建议立项范围</w:t>
      </w:r>
    </w:p>
    <w:p>
      <w:pPr>
        <w:pStyle w:val="Heading2"/>
      </w:pPr>
      <w:r>
        <w:t xml:space="preserve">19.1 一期试点“必须做”</w:t>
      </w:r>
    </w:p>
    <w:p>
      <w:pPr>
        <w:pStyle w:val="ListBullet"/>
      </w:pPr>
      <w:r>
        <w:t xml:space="preserve">•  统一企业、场站、设备、车辆和计量点档案；</w:t>
      </w:r>
    </w:p>
    <w:p>
      <w:pPr>
        <w:pStyle w:val="ListBullet"/>
      </w:pPr>
      <w:r>
        <w:t xml:space="preserve">•  3 家煤矿地磅原始数据、车辆识别、关键图片/视频接入；</w:t>
      </w:r>
    </w:p>
    <w:p>
      <w:pPr>
        <w:pStyle w:val="ListBullet"/>
      </w:pPr>
      <w:r>
        <w:t xml:space="preserve">•  运单—车辆—称重—出场的一车一链；</w:t>
      </w:r>
    </w:p>
    <w:p>
      <w:pPr>
        <w:pStyle w:val="ListBullet"/>
      </w:pPr>
      <w:r>
        <w:t xml:space="preserve">•  产量、外运、库存的基础物料平衡；</w:t>
      </w:r>
    </w:p>
    <w:p>
      <w:pPr>
        <w:pStyle w:val="ListBullet"/>
      </w:pPr>
      <w:r>
        <w:t xml:space="preserve">•  2 家新能源场站 SCADA、关口表和结算数据核验；</w:t>
      </w:r>
    </w:p>
    <w:p>
      <w:pPr>
        <w:pStyle w:val="ListBullet"/>
      </w:pPr>
      <w:r>
        <w:t xml:space="preserve">•  15—20 条高价值、可解释的异常规则；</w:t>
      </w:r>
    </w:p>
    <w:p>
      <w:pPr>
        <w:pStyle w:val="ListBullet"/>
      </w:pPr>
      <w:r>
        <w:t xml:space="preserve">•  数据质量中心、预警工单和移动核查；</w:t>
      </w:r>
    </w:p>
    <w:p>
      <w:pPr>
        <w:pStyle w:val="ListBullet"/>
      </w:pPr>
      <w:r>
        <w:t xml:space="preserve">•  私有化部署、权限、日志、备份和安全加固；</w:t>
      </w:r>
    </w:p>
    <w:p>
      <w:pPr>
        <w:pStyle w:val="ListBullet"/>
      </w:pPr>
      <w:r>
        <w:t xml:space="preserve">•  试运行基线、验收指标和运营制度。</w:t>
      </w:r>
    </w:p>
    <w:p>
      <w:pPr>
        <w:pStyle w:val="Heading2"/>
      </w:pPr>
      <w:r>
        <w:t xml:space="preserve">19.2 一期试点“暂不做”</w:t>
      </w:r>
    </w:p>
    <w:p>
      <w:pPr>
        <w:pStyle w:val="ListBullet"/>
      </w:pPr>
      <w:r>
        <w:t xml:space="preserve">•  未经授权的全域人脸识别；</w:t>
      </w:r>
    </w:p>
    <w:p>
      <w:pPr>
        <w:pStyle w:val="ListBullet"/>
      </w:pPr>
      <w:r>
        <w:t xml:space="preserve">•  监管平台直接控制矿山生产设备；</w:t>
      </w:r>
    </w:p>
    <w:p>
      <w:pPr>
        <w:pStyle w:val="ListBullet"/>
      </w:pPr>
      <w:r>
        <w:t xml:space="preserve">•  一开始接入所有部门和全量历史数据；</w:t>
      </w:r>
    </w:p>
    <w:p>
      <w:pPr>
        <w:pStyle w:val="ListBullet"/>
      </w:pPr>
      <w:r>
        <w:t xml:space="preserve">•  未经过现场验证就承诺复杂 AI 的高准确率；</w:t>
      </w:r>
    </w:p>
    <w:p>
      <w:pPr>
        <w:pStyle w:val="ListBullet"/>
      </w:pPr>
      <w:r>
        <w:t xml:space="preserve">•  用区块链等技术名词替代原始数据、计量检定和责任制度；</w:t>
      </w:r>
    </w:p>
    <w:p>
      <w:pPr>
        <w:pStyle w:val="ListBullet"/>
      </w:pPr>
      <w:r>
        <w:t xml:space="preserve">•  以大屏数量作为项目主要验收指标。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附录 A：煤矿现场调研清单</w:t>
      </w:r>
    </w:p>
    <w:p>
      <w:pPr>
        <w:pStyle w:val="Heading2"/>
      </w:pPr>
      <w:r>
        <w:t xml:space="preserve">A.1 基本信息</w:t>
      </w:r>
    </w:p>
    <w:p>
      <w:pPr>
        <w:pStyle w:val="ListBullet"/>
      </w:pPr>
      <w:r>
        <w:t xml:space="preserve">•  企业名称、统一社会信用代码、矿井类型、核定产能、主要煤种；</w:t>
      </w:r>
    </w:p>
    <w:p>
      <w:pPr>
        <w:pStyle w:val="ListBullet"/>
      </w:pPr>
      <w:r>
        <w:t xml:space="preserve">•  生产班次、装运时段、月均/峰值车辆数；</w:t>
      </w:r>
    </w:p>
    <w:p>
      <w:pPr>
        <w:pStyle w:val="ListBullet"/>
      </w:pPr>
      <w:r>
        <w:t xml:space="preserve">•  原煤、入洗煤、商品煤、副产品和库存口径；</w:t>
      </w:r>
    </w:p>
    <w:p>
      <w:pPr>
        <w:pStyle w:val="ListBullet"/>
      </w:pPr>
      <w:r>
        <w:t xml:space="preserve">•  主出入口、备用道路、装车点、煤仓/堆场位置。</w:t>
      </w:r>
    </w:p>
    <w:p>
      <w:pPr>
        <w:pStyle w:val="Heading2"/>
      </w:pPr>
      <w:r>
        <w:t xml:space="preserve">A.2 地磅与计量</w:t>
      </w:r>
    </w:p>
    <w:p>
      <w:pPr>
        <w:pStyle w:val="ListBullet"/>
      </w:pPr>
      <w:r>
        <w:t xml:space="preserve">•  地磅数量、厂家、型号、量程、分度值、仪表型号；</w:t>
      </w:r>
    </w:p>
    <w:p>
      <w:pPr>
        <w:pStyle w:val="ListBullet"/>
      </w:pPr>
      <w:r>
        <w:t xml:space="preserve">•  检定证书、有效期、最近维修/标定时间；</w:t>
      </w:r>
    </w:p>
    <w:p>
      <w:pPr>
        <w:pStyle w:val="ListBullet"/>
      </w:pPr>
      <w:r>
        <w:t xml:space="preserve">•  串口/网口、通信协议、是否可只读分路；</w:t>
      </w:r>
    </w:p>
    <w:p>
      <w:pPr>
        <w:pStyle w:val="ListBullet"/>
      </w:pPr>
      <w:r>
        <w:t xml:space="preserve">•  现有称重软件、数据库、接口和操作权限；</w:t>
      </w:r>
    </w:p>
    <w:p>
      <w:pPr>
        <w:pStyle w:val="ListBullet"/>
      </w:pPr>
      <w:r>
        <w:t xml:space="preserve">•  是否使用固定皮重、补录、冲正，审批流程如何；</w:t>
      </w:r>
    </w:p>
    <w:p>
      <w:pPr>
        <w:pStyle w:val="ListBullet"/>
      </w:pPr>
      <w:r>
        <w:t xml:space="preserve">•  皮带秤、料位计、装载计量和库存盘点方式。</w:t>
      </w:r>
    </w:p>
    <w:p>
      <w:pPr>
        <w:pStyle w:val="Heading2"/>
      </w:pPr>
      <w:r>
        <w:t xml:space="preserve">A.3 车辆、通道与视频</w:t>
      </w:r>
    </w:p>
    <w:p>
      <w:pPr>
        <w:pStyle w:val="ListBullet"/>
      </w:pPr>
      <w:r>
        <w:t xml:space="preserve">•  进出场流程、道闸、车牌、RFID、红外、红绿灯；</w:t>
      </w:r>
    </w:p>
    <w:p>
      <w:pPr>
        <w:pStyle w:val="ListBullet"/>
      </w:pPr>
      <w:r>
        <w:t xml:space="preserve">•  摄像机位置、画质、夜间补光、录像保存天数；</w:t>
      </w:r>
    </w:p>
    <w:p>
      <w:pPr>
        <w:pStyle w:val="ListBullet"/>
      </w:pPr>
      <w:r>
        <w:t xml:space="preserve">•  车辆类型、承运方、驾驶员核验方式；</w:t>
      </w:r>
    </w:p>
    <w:p>
      <w:pPr>
        <w:pStyle w:val="ListBullet"/>
      </w:pPr>
      <w:r>
        <w:t xml:space="preserve">•  北斗平台、轨迹接口、电子铅封使用情况；</w:t>
      </w:r>
    </w:p>
    <w:p>
      <w:pPr>
        <w:pStyle w:val="ListBullet"/>
      </w:pPr>
      <w:r>
        <w:t xml:space="preserve">•  备用通道、绕行道路、临时装车和应急放行流程。</w:t>
      </w:r>
    </w:p>
    <w:p>
      <w:pPr>
        <w:pStyle w:val="Heading2"/>
      </w:pPr>
      <w:r>
        <w:t xml:space="preserve">A.4 信息化与安全</w:t>
      </w:r>
    </w:p>
    <w:p>
      <w:pPr>
        <w:pStyle w:val="ListBullet"/>
      </w:pPr>
      <w:r>
        <w:t xml:space="preserve">•  ERP、销售、运单、库存、视频和生产系统清单；</w:t>
      </w:r>
    </w:p>
    <w:p>
      <w:pPr>
        <w:pStyle w:val="ListBullet"/>
      </w:pPr>
      <w:r>
        <w:t xml:space="preserve">•  网络分区、出口、VPN/专线、4G/5G 信号；</w:t>
      </w:r>
    </w:p>
    <w:p>
      <w:pPr>
        <w:pStyle w:val="ListBullet"/>
      </w:pPr>
      <w:r>
        <w:t xml:space="preserve">•  服务器、数据库、账号、日志和备份；</w:t>
      </w:r>
    </w:p>
    <w:p>
      <w:pPr>
        <w:pStyle w:val="ListBullet"/>
      </w:pPr>
      <w:r>
        <w:t xml:space="preserve">•  系统厂商、接口联系人和维保状态；</w:t>
      </w:r>
    </w:p>
    <w:p>
      <w:pPr>
        <w:pStyle w:val="ListBullet"/>
      </w:pPr>
      <w:r>
        <w:t xml:space="preserve">•  等保、数据分类分级和安全管理要求。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附录 B：首批预警规则建议</w:t>
      </w:r>
    </w:p>
    <w:tbl>
      <w:tblPr>
        <w:tblStyle w:val="TableGrid"/>
        <w:tblW w:w="93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2325"/>
        <w:gridCol w:w="2325"/>
        <w:gridCol w:w="2325"/>
        <w:gridCol w:w="2325"/>
      </w:tblGrid>
      <w:tr>
        <w:trPr>
          <w:cantSplit/>
          <w:tblHeader/>
        </w:trPr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编号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预警名称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建议等级</w:t>
            </w:r>
          </w:p>
        </w:tc>
        <w:tc>
          <w:tcPr>
            <w:tcW w:w="2325" w:type="dxa"/>
            <w:shd w:val="clear" w:color="auto" w:fill="173B57"/>
            <w:vAlign w:val="top"/>
          </w:tcPr>
          <w:p>
            <w:pPr>
              <w:pStyle w:val="TableText"/>
            </w:pPr>
            <w:r>
              <w:rPr>
                <w:b/>
                <w:sz w:val="18"/>
                <w:szCs w:val="18"/>
                <w:color w:val="FFFFFF"/>
              </w:rPr>
              <w:t xml:space="preserve">核心逻辑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C01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无运单过磅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有有效称重，无关联有效运单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C02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车牌与 RFID 不一致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绑定关系不匹配或标签被多车短时使用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C03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未完全上磅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红外/视觉异常时产生稳定重量记录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C04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重复过磅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同车同单在异常时间窗内重复产生有效净重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C05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历史皮重离群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皮重偏离车辆滚动基线并超过配置阈值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C06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超核定载质量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净重/总重超过车辆核定范围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C07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夜间异常装运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非计划时段或停产报备时段发生装运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C08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绕行/无磅出场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出口车辆事件无对应过磅或运单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C09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路线偏离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超出规定路线/围栏且未获批准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C10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中途异常停留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重点路段停留超过阈值或电子铅封开启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C11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出发未到达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超过预计时限未进入目的地围栏/核销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C12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收发重量偏差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发货与收货净重差超过货种/距离阈值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C13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产销存不平衡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企业物料平衡偏差持续超过阈值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C14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仪表值与系统值不一致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原始仪表读数与磅单值差异异常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C15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计量检定过期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高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地磅/关口表超出有效检定期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C16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关键视频缺失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有过磅但无关键抓拍或摄像机离线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C17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数据时间异常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设备时间漂移、倒序或跨源时间不一致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C18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新能源计量偏差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SCADA、关口表、结算电量偏差超阈值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C19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新能源异常停机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FFFFF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资源条件正常但同群设备持续低出力</w:t>
            </w:r>
          </w:p>
        </w:tc>
      </w:tr>
      <w:tr>
        <w:trPr>
          <w:cantSplit/>
        </w:trPr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C20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数据中断后异常补传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中</w:t>
            </w:r>
          </w:p>
        </w:tc>
        <w:tc>
          <w:tcPr>
            <w:tcW w:w="2325" w:type="dxa"/>
            <w:shd w:val="clear" w:color="auto" w:fill="F3F6F6"/>
            <w:vAlign w:val="top"/>
          </w:tcPr>
          <w:p>
            <w:pPr>
              <w:pStyle w:val="TableText"/>
            </w:pPr>
            <w:r>
              <w:rPr>
                <w:sz w:val="18"/>
                <w:szCs w:val="18"/>
                <w:color w:val="202A33"/>
              </w:rPr>
              <w:t xml:space="preserve">长时离线后补传量、时间或顺序异常</w:t>
            </w:r>
          </w:p>
        </w:tc>
      </w:tr>
    </w:tbl>
    <w:p>
      <w:pPr>
        <w:pStyle w:val="Normal"/>
      </w:pPr>
      <w:r>
        <w:t xml:space="preserve">每条规则上线前均应明确数据前提、计算窗口、阈值、排除条件、责任处室、处置时限和所需证据。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附录 C：试点验收场景</w:t>
      </w:r>
    </w:p>
    <w:p>
      <w:pPr>
        <w:pStyle w:val="ListNumber"/>
      </w:pPr>
      <w:r>
        <w:t xml:space="preserve">1.  模拟网络中断 2 小时，验证边缘缓存、恢复补传和数据顺序；</w:t>
      </w:r>
    </w:p>
    <w:p>
      <w:pPr>
        <w:pStyle w:val="ListNumber"/>
      </w:pPr>
      <w:r>
        <w:t xml:space="preserve">2.  模拟车牌与 RFID 不一致，验证拦截/提示策略和证据留存；</w:t>
      </w:r>
    </w:p>
    <w:p>
      <w:pPr>
        <w:pStyle w:val="ListNumber"/>
      </w:pPr>
      <w:r>
        <w:t xml:space="preserve">3.  模拟车辆未完全上磅，验证红外/视觉识别；</w:t>
      </w:r>
    </w:p>
    <w:p>
      <w:pPr>
        <w:pStyle w:val="ListNumber"/>
      </w:pPr>
      <w:r>
        <w:t xml:space="preserve">4.  创建重复运单/重复过磅，验证规则和工单；</w:t>
      </w:r>
    </w:p>
    <w:p>
      <w:pPr>
        <w:pStyle w:val="ListNumber"/>
      </w:pPr>
      <w:r>
        <w:t xml:space="preserve">5.  抽取 100 条磅单，对照仪表、图片、车辆和业务系统；</w:t>
      </w:r>
    </w:p>
    <w:p>
      <w:pPr>
        <w:pStyle w:val="ListNumber"/>
      </w:pPr>
      <w:r>
        <w:t xml:space="preserve">6.  模拟摄像机离线、时间漂移和计量检定到期；</w:t>
      </w:r>
    </w:p>
    <w:p>
      <w:pPr>
        <w:pStyle w:val="ListNumber"/>
      </w:pPr>
      <w:r>
        <w:t xml:space="preserve">7.  完成一条预警从发现、企业说明、现场复核到销号的全过程；</w:t>
      </w:r>
    </w:p>
    <w:p>
      <w:pPr>
        <w:pStyle w:val="ListNumber"/>
      </w:pPr>
      <w:r>
        <w:t xml:space="preserve">8.  抽取新能源连续 7 日数据，完成 SCADA、关口表和结算三账核验；</w:t>
      </w:r>
    </w:p>
    <w:p>
      <w:pPr>
        <w:pStyle w:val="ListNumber"/>
      </w:pPr>
      <w:r>
        <w:t xml:space="preserve">9.  验证不同角色的数据权限、脱敏、导出审批和操作日志；</w:t>
      </w:r>
    </w:p>
    <w:p>
      <w:pPr>
        <w:pStyle w:val="ListNumber"/>
      </w:pPr>
      <w:r>
        <w:t xml:space="preserve">10.  执行备份恢复和证据包完整性校验。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附录 D：领导汇报一页纸</w:t>
      </w:r>
    </w:p>
    <w:p>
      <w:pPr>
        <w:pStyle w:val="Heading2"/>
      </w:pPr>
      <w:r>
        <w:t xml:space="preserve">项目要解决什么</w:t>
      </w:r>
    </w:p>
    <w:p>
      <w:pPr>
        <w:pStyle w:val="Normal"/>
      </w:pPr>
      <w:r>
        <w:t xml:space="preserve">辖区能源企业生产和流通数据主要依赖报送，现场地磅、车辆、视频、库存、SCADA 和结算数据彼此割裂，难以及时发现少报漏报、体系外运输和异常生产。</w:t>
      </w:r>
    </w:p>
    <w:p>
      <w:pPr>
        <w:pStyle w:val="Heading2"/>
      </w:pPr>
      <w:r>
        <w:t xml:space="preserve">怎么建设</w:t>
      </w:r>
    </w:p>
    <w:p>
      <w:pPr>
        <w:pStyle w:val="Normal"/>
      </w:pPr>
      <w:r>
        <w:t xml:space="preserve">建设区域能源生产与流通数字监管平台。煤矿形成“运单—身份—空重车称重—出场—轨迹—到达”一车一链；风电、光伏形成“SCADA—关口表—调度/结算”三账核验；AI 自动筛查异常，监管人员复核后进入整改处置闭环。</w:t>
      </w:r>
    </w:p>
    <w:p>
      <w:pPr>
        <w:pStyle w:val="Heading2"/>
      </w:pPr>
      <w:r>
        <w:t xml:space="preserve">有什么不同</w:t>
      </w:r>
    </w:p>
    <w:p>
      <w:pPr>
        <w:pStyle w:val="ListBullet"/>
      </w:pPr>
      <w:r>
        <w:t xml:space="preserve">•  复用企业已有地磅、摄像机和系统，减少重复建设；</w:t>
      </w:r>
    </w:p>
    <w:p>
      <w:pPr>
        <w:pStyle w:val="ListBullet"/>
      </w:pPr>
      <w:r>
        <w:t xml:space="preserve">•  现场原始数据直采，多源交叉核验，不只是企业填报；</w:t>
      </w:r>
    </w:p>
    <w:p>
      <w:pPr>
        <w:pStyle w:val="ListBullet"/>
      </w:pPr>
      <w:r>
        <w:t xml:space="preserve">•  AI 只提供线索，保留原始数据、图片和设备状态；</w:t>
      </w:r>
    </w:p>
    <w:p>
      <w:pPr>
        <w:pStyle w:val="ListBullet"/>
      </w:pPr>
      <w:r>
        <w:t xml:space="preserve">•  监管侧只读接入，不影响企业生产控制；</w:t>
      </w:r>
    </w:p>
    <w:p>
      <w:pPr>
        <w:pStyle w:val="ListBullet"/>
      </w:pPr>
      <w:r>
        <w:t xml:space="preserve">•  先试点、后推广，所有成效用真实基线衡量。</w:t>
      </w:r>
    </w:p>
    <w:p>
      <w:pPr>
        <w:pStyle w:val="Heading2"/>
      </w:pPr>
      <w:r>
        <w:t xml:space="preserve">怎么试点</w:t>
      </w:r>
    </w:p>
    <w:p>
      <w:pPr>
        <w:pStyle w:val="Normal"/>
      </w:pPr>
      <w:r>
        <w:t xml:space="preserve">选择 3 家不同类型煤矿、1 家风电场、1 家光伏电站，约 120 天完成。建议试点投资约 260—520 万元，现场勘查后形成正式概算。重点验收数据完整率、车辆/磅单关联率、预警闭环率、断网补传和多源核验效果。</w:t>
      </w:r>
    </w:p>
    <w:p>
      <w:pPr>
        <w:pStyle w:val="Heading2"/>
      </w:pPr>
      <w:r>
        <w:t xml:space="preserve">最终形成什么</w:t>
      </w:r>
    </w:p>
    <w:p>
      <w:pPr>
        <w:pStyle w:val="Normal"/>
      </w:pPr>
      <w:r>
        <w:t xml:space="preserve">辖区企业底数清、产量可核验、车辆流向可追踪、异常主动发现、处置全过程留痕，并沉淀一套可复制到全辖区的接入标准、预警规则和单站模板。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附录 E：下一步需能源局确认的事项</w:t>
      </w:r>
    </w:p>
    <w:p>
      <w:pPr>
        <w:pStyle w:val="ListNumber"/>
      </w:pPr>
      <w:r>
        <w:t xml:space="preserve">1.  本项目监管对象是煤矿为主，还是同时覆盖选煤厂、储煤场、风电、光伏和储能？</w:t>
      </w:r>
    </w:p>
    <w:p>
      <w:pPr>
        <w:pStyle w:val="ListNumber"/>
      </w:pPr>
      <w:r>
        <w:t xml:space="preserve">2.  能源局依法掌握的企业数据和可共享的跨部门数据有哪些？</w:t>
      </w:r>
    </w:p>
    <w:p>
      <w:pPr>
        <w:pStyle w:val="ListNumber"/>
      </w:pPr>
      <w:r>
        <w:t xml:space="preserve">3.  辖区企业数量、地磅数量、日均车辆数和新能源场站数量是多少？</w:t>
      </w:r>
    </w:p>
    <w:p>
      <w:pPr>
        <w:pStyle w:val="ListNumber"/>
      </w:pPr>
      <w:r>
        <w:t xml:space="preserve">4.  是否已有市级政务云、视频平台、物联网平台或数据中台可复用？</w:t>
      </w:r>
    </w:p>
    <w:p>
      <w:pPr>
        <w:pStyle w:val="ListNumber"/>
      </w:pPr>
      <w:r>
        <w:t xml:space="preserve">5.  试点企业的地磅、视频、ERP、库存和 SCADA 是否开放接口？</w:t>
      </w:r>
    </w:p>
    <w:p>
      <w:pPr>
        <w:pStyle w:val="ListNumber"/>
      </w:pPr>
      <w:r>
        <w:t xml:space="preserve">6.  预警由哪个处室复核，什么条件下移交其他部门？</w:t>
      </w:r>
    </w:p>
    <w:p>
      <w:pPr>
        <w:pStyle w:val="ListNumber"/>
      </w:pPr>
      <w:r>
        <w:t xml:space="preserve">7.  对车辆轨迹、身份和视频的采集范围、保存期限和共享边界是什么？</w:t>
      </w:r>
    </w:p>
    <w:p>
      <w:pPr>
        <w:pStyle w:val="ListNumber"/>
      </w:pPr>
      <w:r>
        <w:t xml:space="preserve">8.  项目采用财政统建、企业配套改造，还是政府购买服务模式？</w:t>
      </w:r>
    </w:p>
    <w:p>
      <w:pPr>
        <w:pStyle w:val="ListNumber"/>
      </w:pPr>
      <w:r>
        <w:t xml:space="preserve">9.  是否有信创、等保、密码应用或本地数据中心的明确要求？</w:t>
      </w:r>
    </w:p>
    <w:p>
      <w:pPr>
        <w:pStyle w:val="ListNumber"/>
      </w:pPr>
      <w:r>
        <w:t xml:space="preserve">10.  希望试点在什么时间形成可汇报、可验收成果？</w:t>
      </w:r>
    </w:p>
    <w:p>
      <w:pPr>
        <w:pStyle w:val="Normal"/>
        <w:pBdr>
          <w:bottom w:val="single" w:sz="4" w:space="6" w:color="B8C5C9"/>
        </w:pBdr>
      </w:pPr>
    </w:p>
    <w:p>
      <w:pPr>
        <w:pStyle w:val="Heading1"/>
      </w:pPr>
      <w:r>
        <w:t xml:space="preserve">参考资料与编制依据说明</w:t>
      </w:r>
    </w:p>
    <w:p>
      <w:pPr>
        <w:pStyle w:val="Normal"/>
      </w:pPr>
      <w:r>
        <w:t xml:space="preserve">本方案结合通微现有《公司业务概况》《产品配套业务简介》《产品手册》所列的 AIoT 平台、SG/BEC 工业网关、扩展模块、多协议接入、边缘缓存、私有化部署、开放接口和运维闭环能力编制，并参考能源、煤矿、计量、网络安全、数据安全、个人信息保护和行政执法领域的现行法律政策及行业通行做法。</w:t>
      </w:r>
    </w:p>
    <w:p>
      <w:pPr>
        <w:pStyle w:val="Normal"/>
      </w:pPr>
      <w:r>
        <w:t xml:space="preserve">正式立项或投标前，应完成以下复核：</w:t>
      </w:r>
    </w:p>
    <w:p>
      <w:pPr>
        <w:pStyle w:val="ListBullet"/>
      </w:pPr>
      <w:r>
        <w:t xml:space="preserve">•  由项目所在地能源主管部门确认属地监管职责和数据报送依据；</w:t>
      </w:r>
    </w:p>
    <w:p>
      <w:pPr>
        <w:pStyle w:val="ListBullet"/>
      </w:pPr>
      <w:r>
        <w:t xml:space="preserve">•  由法制部门核验所有法律、政策、标准的最新有效版本；</w:t>
      </w:r>
    </w:p>
    <w:p>
      <w:pPr>
        <w:pStyle w:val="ListBullet"/>
      </w:pPr>
      <w:r>
        <w:t xml:space="preserve">•  由现场调研确认设备、防爆/矿安、计量、协议、网络和接口条件；</w:t>
      </w:r>
    </w:p>
    <w:p>
      <w:pPr>
        <w:pStyle w:val="ListBullet"/>
      </w:pPr>
      <w:r>
        <w:t xml:space="preserve">•  由第三方产品厂家确认地磅、视频、定位、电子铅封等性能和资质；</w:t>
      </w:r>
    </w:p>
    <w:p>
      <w:pPr>
        <w:pStyle w:val="ListBullet"/>
      </w:pPr>
      <w:r>
        <w:t xml:space="preserve">•  由项目技术确认单锁定最终功能、指标、预算和验收方法。</w:t>
      </w:r>
    </w:p>
    <w:p>
      <w:pPr>
        <w:pStyle w:val="Normal"/>
        <w:pBdr>
          <w:bottom w:val="single" w:sz="4" w:space="6" w:color="B8C5C9"/>
        </w:pBdr>
      </w:pPr>
    </w:p>
    <w:p>
      <w:pPr>
        <w:pStyle w:val="Normal"/>
      </w:pPr>
      <w:r>
        <w:rPr>
          <w:b/>
        </w:rPr>
        <w:t xml:space="preserve">广州通微智慧科技有限公司</w:t>
      </w:r>
    </w:p>
    <w:p>
      <w:pPr>
        <w:pStyle w:val="Normal"/>
      </w:pPr>
      <w:r>
        <w:t xml:space="preserve">工业级 AIoT 智慧运维产品和方案提供商</w:t>
      </w:r>
    </w:p>
    <w:p>
      <w:pPr>
        <w:pStyle w:val="Normal"/>
      </w:pPr>
      <w:r>
        <w:t xml:space="preserve">本方案联系人、电话、邮箱及属地项目名称可在对外版本中补充。</w:t>
      </w:r>
    </w:p>
    <w:sectPr>
      <w:headerReference w:type="default" r:id="rId1"/>
      <w:footerReference w:type="default" r:id="rId2"/>
      <w:pgSz w:w="11906" w:h="16838"/>
      <w:pgMar w:top="1191" w:right="1077" w:bottom="1134" w:left="1077" w:header="567" w:footer="567" w:gutter="0"/>
      <w:cols w:space="425"/>
      <w:docGrid w:linePitch="312"/>
    </w:sectPr>
  </w:body>
</w:document>
</file>

<file path=word/footer1.xml><?xml version="1.0" encoding="utf-8"?>
<w:ftr xmlns:w="http://schemas.openxmlformats.org/wordprocessingml/2006/main">
  <w:p>
    <w:pPr>
      <w:jc w:val="center"/>
      <w:pBdr>
        <w:top w:val="single" w:sz="4" w:space="4" w:color="AAB8BD"/>
      </w:pBdr>
    </w:pPr>
    <w:r>
      <w:rPr>
        <w:color w:val="6C7A80"/>
        <w:sz w:val="17"/>
      </w:rPr>
      <w:t>广州通微智慧科技有限公司  ·  第 </w:t>
    </w:r>
    <w:fldSimple w:instr=" PAGE ">
      <w:r>
        <w:rPr>
          <w:color w:val="6C7A80"/>
          <w:sz w:val="17"/>
        </w:rPr>
        <w:t>1</w:t>
      </w:r>
    </w:fldSimple>
    <w:r>
      <w:rPr>
        <w:color w:val="6C7A80"/>
        <w:sz w:val="17"/>
      </w:rPr>
      <w:t> 页</w:t>
    </w:r>
  </w:p>
</w:ftr>
</file>

<file path=word/header1.xml><?xml version="1.0" encoding="utf-8"?>
<w:hdr xmlns:w="http://schemas.openxmlformats.org/wordprocessingml/2006/main">
  <w:p>
    <w:pPr>
      <w:jc w:val="right"/>
      <w:pBdr>
        <w:bottom w:val="single" w:sz="4" w:space="4" w:color="AAB8BD"/>
      </w:pBdr>
    </w:pPr>
    <w:r>
      <w:rPr>
        <w:color w:val="6C7A80"/>
        <w:sz w:val="17"/>
      </w:rPr>
      <w:t>区域能源生产与流通数字监管平台建设方案  |  V1.0</w:t>
    </w:r>
  </w:p>
</w:hdr>
</file>

<file path=word/settings.xml><?xml version="1.0" encoding="utf-8"?>
<w:settings xmlns:w="http://schemas.openxmlformats.org/wordprocessingml/2006/main">
  <w:zoom w:percent="100"/>
  <w:defaultTabStop w:val="420"/>
  <w:updateFields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sz w:val="21"/>
        <w:szCs w:val="21"/>
        <w:lang w:val="zh-CN" w:eastAsia="zh-CN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  <w:pPr>
      <w:spacing w:after="120" w:line="360" w:lineRule="auto"/>
      <w:jc w:val="both"/>
    </w:pPr>
  </w:style>
  <w:style w:type="paragraph" w:styleId="Title">
    <w:name w:val="Title"/>
    <w:qFormat/>
    <w:pPr>
      <w:spacing w:before="2600" w:after="260"/>
      <w:jc w:val="center"/>
      <w:keepNext/>
    </w:pPr>
    <w:rPr>
      <w:rFonts w:eastAsia="Microsoft YaHei"/>
      <w:b/>
      <w:color w:val="173B57"/>
      <w:sz w:val="56"/>
      <w:szCs w:val="56"/>
    </w:rPr>
  </w:style>
  <w:style w:type="paragraph" w:styleId="Subtitle">
    <w:name w:val="Subtitle"/>
    <w:qFormat/>
    <w:pPr>
      <w:spacing w:after="900"/>
      <w:jc w:val="center"/>
      <w:keepNext/>
    </w:pPr>
    <w:rPr>
      <w:color w:val="2A6F79"/>
      <w:sz w:val="30"/>
      <w:szCs w:val="30"/>
    </w:rPr>
  </w:style>
  <w:style w:type="paragraph" w:styleId="Meta">
    <w:name w:val="Cover Meta"/>
    <w:pPr>
      <w:spacing w:after="130"/>
      <w:jc w:val="center"/>
    </w:pPr>
    <w:rPr>
      <w:color w:val="45545D"/>
      <w:sz w:val="22"/>
      <w:szCs w:val="22"/>
    </w:rPr>
  </w:style>
  <w:style w:type="paragraph" w:styleId="Heading1">
    <w:name w:val="heading 1"/>
    <w:basedOn w:val="Normal"/>
    <w:next w:val="Normal"/>
    <w:qFormat/>
    <w:pPr>
      <w:pageBreakBefore/>
      <w:keepNext/>
      <w:keepLines/>
      <w:spacing w:before="280" w:after="180"/>
      <w:outlineLvl w:val="0"/>
      <w:pBdr>
        <w:bottom w:val="single" w:sz="14" w:space="5" w:color="2A6F79"/>
      </w:pBdr>
    </w:pPr>
    <w:rPr>
      <w:b/>
      <w:color w:val="173B57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120"/>
      <w:outlineLvl w:val="1"/>
      <w:pBdr>
        <w:left w:val="single" w:sz="20" w:space="8" w:color="2A6F79"/>
      </w:pBdr>
    </w:pPr>
    <w:rPr>
      <w:b/>
      <w:color w:val="173B57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180" w:after="80"/>
      <w:outlineLvl w:val="2"/>
    </w:pPr>
    <w:rPr>
      <w:b/>
      <w:color w:val="204D52"/>
      <w:sz w:val="24"/>
      <w:szCs w:val="24"/>
    </w:rPr>
  </w:style>
  <w:style w:type="paragraph" w:styleId="Quote">
    <w:name w:val="Quote"/>
    <w:basedOn w:val="Normal"/>
    <w:pPr>
      <w:ind w:left="360" w:right="240"/>
      <w:spacing w:before="120" w:after="160"/>
      <w:shd w:val="clear" w:fill="EEF5F4"/>
      <w:pBdr>
        <w:left w:val="single" w:sz="22" w:space="8" w:color="2A6F79"/>
      </w:pBdr>
    </w:pPr>
    <w:rPr>
      <w:b/>
      <w:color w:val="173B57"/>
      <w:sz w:val="23"/>
      <w:szCs w:val="23"/>
    </w:rPr>
  </w:style>
  <w:style w:type="paragraph" w:styleId="ListBullet">
    <w:name w:val="List Bullet"/>
    <w:basedOn w:val="Normal"/>
    <w:pPr>
      <w:ind w:left="420" w:hanging="260"/>
      <w:spacing w:after="70"/>
    </w:pPr>
  </w:style>
  <w:style w:type="paragraph" w:styleId="ListNumber">
    <w:name w:val="List Number"/>
    <w:basedOn w:val="Normal"/>
    <w:pPr>
      <w:ind w:left="420" w:hanging="260"/>
      <w:spacing w:after="70"/>
    </w:pPr>
  </w:style>
  <w:style w:type="paragraph" w:styleId="TocTitle">
    <w:name w:val="TOC Title"/>
    <w:qFormat/>
    <w:pPr>
      <w:spacing w:before="80" w:after="260"/>
      <w:jc w:val="center"/>
      <w:keepNext/>
    </w:pPr>
    <w:rPr>
      <w:b/>
      <w:color w:val="173B57"/>
      <w:sz w:val="40"/>
      <w:szCs w:val="40"/>
    </w:rPr>
  </w:style>
  <w:style w:type="paragraph" w:styleId="Toc1">
    <w:name w:val="TOC 1"/>
    <w:pPr>
      <w:spacing w:after="70"/>
      <w:ind w:left="0"/>
    </w:pPr>
    <w:rPr>
      <w:b/>
      <w:color w:val="173B57"/>
      <w:sz w:val="21"/>
      <w:szCs w:val="21"/>
    </w:rPr>
  </w:style>
  <w:style w:type="paragraph" w:styleId="Toc2">
    <w:name w:val="TOC 2"/>
    <w:pPr>
      <w:spacing w:after="35"/>
      <w:ind w:left="360"/>
    </w:pPr>
    <w:rPr>
      <w:color w:val="45545D"/>
      <w:sz w:val="18"/>
      <w:szCs w:val="18"/>
    </w:rPr>
  </w:style>
  <w:style w:type="paragraph" w:styleId="TableText">
    <w:name w:val="Table Text"/>
    <w:basedOn w:val="Normal"/>
    <w:pPr>
      <w:spacing w:after="0" w:line="260" w:lineRule="auto"/>
      <w:jc w:val="left"/>
    </w:pPr>
    <w:rPr>
      <w:sz w:val="18"/>
      <w:szCs w:val="18"/>
    </w:rPr>
  </w:style>
  <w:style w:type="table" w:styleId="TableGrid">
    <w:name w:val="Table Grid"/>
    <w:tblPr>
      <w:tblBorders>
        <w:top w:val="single" w:sz="4" w:color="9DAFB5"/>
        <w:left w:val="single" w:sz="4" w:color="9DAFB5"/>
        <w:bottom w:val="single" w:sz="4" w:color="9DAFB5"/>
        <w:right w:val="single" w:sz="4" w:color="9DAFB5"/>
        <w:insideH w:val="single" w:sz="4" w:color="9DAFB5"/>
        <w:insideV w:val="single" w:sz="4" w:color="9DAFB5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header" Target="header1.xml"/>
  <Relationship Id="rId2" Type="http://schemas.openxmlformats.org/officeDocument/2006/relationships/footer" Target="footer1.xml"/>
  <Relationship Id="rId3" Type="http://schemas.openxmlformats.org/officeDocument/2006/relationships/styles" Target="styles.xml"/>
  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Codex Document Generator</Application>
  <Company>广州通微智慧科技有限公司</Company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区域能源生产与流通数字监管平台建设方案</dc:title>
  <dc:subject>面向能源主管部门的 AIoT 监管解决方案</dc:subject>
  <dc:creator>广州通微智慧科技有限公司</dc:creator>
  <cp:keywords>能源监管;煤矿;车辆监管;物联网;AI;风电;光伏</cp:keywords>
  <dc:description>立项交流、需求调研、试点论证和初步预算方案</dc:description>
  <cp:lastModifiedBy>广州通微智慧科技有限公司</cp:lastModifiedBy>
  <dcterms:created xsi:type="dcterms:W3CDTF">2026-07-18T10:32:31Z</dcterms:created>
  <dcterms:modified xsi:type="dcterms:W3CDTF">2026-07-18T10:32:31Z</dcterms:modified>
</cp:coreProperties>
</file>