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07BF2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shd w:val="clear" w:color="auto" w:fill="54A72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19D086A"/>
        </w:tc>
        <w:tc>
          <w:tcPr>
            <w:tcW w:w="5273" w:type="dxa"/>
            <w:shd w:val="clear" w:color="auto" w:fill="FFFFFF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776F03"/>
        </w:tc>
      </w:tr>
    </w:tbl>
    <w:p w14:paraId="76283AA4">
      <w:pPr>
        <w:spacing w:after="240"/>
        <w:jc w:val="right"/>
      </w:pPr>
      <w:r>
        <w:rPr>
          <w:rFonts w:ascii="微软雅黑" w:hAnsi="微软雅黑" w:eastAsia="微软雅黑"/>
          <w:b/>
          <w:color w:val="0D3B66"/>
          <w:sz w:val="24"/>
        </w:rPr>
        <w:t>通微智慧科技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9"/>
      </w:tblGrid>
      <w:tr w14:paraId="05C6A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9" w:type="dxa"/>
            <w:tcBorders>
              <w:top w:val="single" w:color="0D3B66" w:sz="8" w:space="0"/>
              <w:left w:val="single" w:color="0D3B66" w:sz="8" w:space="0"/>
              <w:bottom w:val="single" w:color="0D3B66" w:sz="8" w:space="0"/>
              <w:right w:val="single" w:color="0D3B66" w:sz="8" w:space="0"/>
            </w:tcBorders>
            <w:shd w:val="clear" w:color="auto" w:fill="0D3B66"/>
            <w:tcMar>
              <w:top w:w="520" w:type="dxa"/>
              <w:left w:w="520" w:type="dxa"/>
              <w:bottom w:w="420" w:type="dxa"/>
              <w:right w:w="520" w:type="dxa"/>
            </w:tcMar>
          </w:tcPr>
          <w:p w14:paraId="3721740C">
            <w:pPr>
              <w:spacing w:after="240"/>
            </w:pPr>
            <w:r>
              <w:rPr>
                <w:rFonts w:ascii="微软雅黑" w:hAnsi="微软雅黑" w:eastAsia="微软雅黑"/>
                <w:b/>
                <w:color w:val="FFFFFF"/>
                <w:sz w:val="54"/>
              </w:rPr>
              <w:t>通微智慧动力环境监控系统</w:t>
            </w:r>
          </w:p>
          <w:p w14:paraId="3957CBD0">
            <w:pPr>
              <w:spacing w:after="360"/>
            </w:pPr>
            <w:r>
              <w:rPr>
                <w:rFonts w:ascii="微软雅黑" w:hAnsi="微软雅黑" w:eastAsia="微软雅黑"/>
                <w:b/>
                <w:color w:val="FFFFFF"/>
                <w:sz w:val="44"/>
              </w:rPr>
              <w:t>解 决 方 案</w:t>
            </w:r>
          </w:p>
          <w:p w14:paraId="41A9C343">
            <w:pPr>
              <w:spacing w:after="480"/>
            </w:pPr>
            <w:r>
              <w:rPr>
                <w:rFonts w:ascii="微软雅黑" w:hAnsi="微软雅黑" w:eastAsia="微软雅黑"/>
                <w:b w:val="0"/>
                <w:color w:val="DDEBFA"/>
                <w:sz w:val="23"/>
              </w:rPr>
              <w:t>V2.0  |  端边云一体  |  智慧运维闭环  |  能效管理</w:t>
            </w:r>
          </w:p>
          <w:p w14:paraId="63D02752">
            <w:pPr>
              <w:spacing w:after="0"/>
            </w:pPr>
            <w:r>
              <w:rPr>
                <w:rFonts w:ascii="微软雅黑" w:hAnsi="微软雅黑" w:eastAsia="微软雅黑"/>
                <w:color w:val="DDEBFA"/>
                <w:sz w:val="21"/>
              </w:rPr>
              <w:t>面向机房、数据中心、通信站点、配电与分布式关键设施</w:t>
            </w:r>
          </w:p>
        </w:tc>
      </w:tr>
    </w:tbl>
    <w:p w14:paraId="2C45B38A">
      <w:pPr>
        <w:spacing w:before="760" w:after="140"/>
      </w:pPr>
      <w:r>
        <w:rPr>
          <w:rFonts w:ascii="微软雅黑" w:hAnsi="微软雅黑" w:eastAsia="微软雅黑"/>
          <w:b/>
          <w:color w:val="0D3B66"/>
          <w:sz w:val="27"/>
        </w:rPr>
        <w:t>工业级 AIoT 智慧运维产品与数据服务商</w:t>
      </w:r>
    </w:p>
    <w:p w14:paraId="43459C8C">
      <w:pPr>
        <w:spacing w:after="120"/>
      </w:pPr>
      <w:r>
        <w:rPr>
          <w:rFonts w:ascii="微软雅黑" w:hAnsi="微软雅黑" w:eastAsia="微软雅黑"/>
          <w:color w:val="1F2937"/>
          <w:sz w:val="21"/>
        </w:rPr>
        <w:t>以工业网关、AIoT 平台和标准产品包为基础，帮助客户将分散设备、用能系统和现场服务纳入统一运营闭环。</w:t>
      </w:r>
    </w:p>
    <w:p w14:paraId="01E26C78">
      <w:pPr>
        <w:spacing w:before="700" w:after="40"/>
      </w:pPr>
      <w:r>
        <w:rPr>
          <w:rFonts w:ascii="微软雅黑" w:hAnsi="微软雅黑" w:eastAsia="微软雅黑"/>
          <w:b/>
          <w:color w:val="0D3B66"/>
          <w:sz w:val="22"/>
        </w:rPr>
        <w:t>广州通微智慧科技有限公司</w:t>
      </w:r>
    </w:p>
    <w:p w14:paraId="12A0C52C">
      <w:r>
        <w:rPr>
          <w:rFonts w:ascii="微软雅黑" w:hAnsi="微软雅黑" w:eastAsia="微软雅黑"/>
          <w:color w:val="64748B"/>
          <w:sz w:val="20"/>
        </w:rPr>
        <w:t>2026 年 8 月</w:t>
      </w:r>
    </w:p>
    <w:p w14:paraId="4153B8BE">
      <w:r>
        <w:br w:type="page"/>
      </w:r>
    </w:p>
    <w:p w14:paraId="2BBF3958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目录</w:t>
      </w:r>
    </w:p>
    <w:tbl>
      <w:tblPr>
        <w:tblStyle w:val="32"/>
        <w:tblW w:w="0" w:type="auto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"/>
        <w:gridCol w:w="5099"/>
        <w:gridCol w:w="5060"/>
        <w:gridCol w:w="39"/>
      </w:tblGrid>
      <w:tr w14:paraId="735B6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6022693A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一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86C13D6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方案概述</w:t>
            </w:r>
          </w:p>
        </w:tc>
      </w:tr>
      <w:tr w14:paraId="35912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EAB2624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二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AACE226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建设目标、范围与安全边界</w:t>
            </w:r>
          </w:p>
        </w:tc>
      </w:tr>
      <w:tr w14:paraId="3BE06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73D8F53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三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4EBA7AB2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总体架构与部署模式</w:t>
            </w:r>
          </w:p>
        </w:tc>
      </w:tr>
      <w:tr w14:paraId="554C7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7616E22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四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70BFF6E2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现场监控与控制子系统</w:t>
            </w:r>
          </w:p>
        </w:tc>
      </w:tr>
      <w:tr w14:paraId="51EF7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44F50775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五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171E2F8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平台、智能运维与数据服务</w:t>
            </w:r>
          </w:p>
        </w:tc>
      </w:tr>
      <w:tr w14:paraId="6C9B1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0F51170D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六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0B2CC80B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网络安全、数据安全与可靠性设计</w:t>
            </w:r>
          </w:p>
        </w:tc>
      </w:tr>
      <w:tr w14:paraId="0F42D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2CD4CF6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七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B03C9C5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行业场景与标准产品包</w:t>
            </w:r>
          </w:p>
        </w:tc>
      </w:tr>
      <w:tr w14:paraId="78E5F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788A59B9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八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D6136DD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实施、验收与持续运维</w:t>
            </w:r>
          </w:p>
        </w:tc>
      </w:tr>
      <w:tr w14:paraId="1A0E0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BA0B7F9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九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DDF40C5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产品体系与交付核验要求</w:t>
            </w:r>
          </w:p>
        </w:tc>
      </w:tr>
      <w:tr w14:paraId="7A457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73150DF9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十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5DD91FA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公司简介</w:t>
            </w:r>
          </w:p>
        </w:tc>
      </w:tr>
      <w:tr w14:paraId="1BD7E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B4B5C14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附录 A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EA4F0D8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标准、政策与法规适用清单</w:t>
            </w:r>
          </w:p>
        </w:tc>
      </w:tr>
      <w:tr w14:paraId="34403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</w:trPr>
        <w:tc>
          <w:tcPr>
            <w:tcW w:w="1304" w:type="dxa"/>
            <w:tcBorders>
              <w:bottom w:val="single" w:color="DDE5EA" w:sz="4" w:space="0"/>
            </w:tcBorders>
            <w:shd w:val="clear" w:color="auto" w:fill="EEF6E9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43806F00">
            <w:pPr>
              <w:jc w:val="center"/>
            </w:pPr>
            <w:r>
              <w:rPr>
                <w:rFonts w:ascii="微软雅黑" w:hAnsi="微软雅黑" w:eastAsia="微软雅黑"/>
                <w:b/>
                <w:color w:val="54A72A"/>
                <w:sz w:val="20"/>
              </w:rPr>
              <w:t>附录 B</w:t>
            </w:r>
          </w:p>
        </w:tc>
        <w:tc>
          <w:tcPr>
            <w:tcW w:w="7938" w:type="dxa"/>
            <w:gridSpan w:val="2"/>
            <w:tcBorders>
              <w:bottom w:val="single" w:color="DDE5EA" w:sz="4" w:space="0"/>
            </w:tcBorders>
            <w:shd w:val="clear" w:color="auto" w:fill="FFFFFF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622C08F0">
            <w:r>
              <w:rPr>
                <w:rFonts w:ascii="微软雅黑" w:hAnsi="微软雅黑" w:eastAsia="微软雅黑"/>
                <w:b/>
                <w:color w:val="0D3B66"/>
                <w:sz w:val="21"/>
              </w:rPr>
              <w:t>项目范围与验收核验表</w:t>
            </w:r>
          </w:p>
        </w:tc>
      </w:tr>
      <w:tr w14:paraId="43161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10199" w:type="dxa"/>
            <w:gridSpan w:val="3"/>
            <w:tcBorders>
              <w:top w:val="single" w:color="175C92" w:sz="6" w:space="0"/>
              <w:left w:val="single" w:color="175C92" w:sz="6" w:space="0"/>
              <w:bottom w:val="single" w:color="175C92" w:sz="6" w:space="0"/>
              <w:right w:val="single" w:color="175C92" w:sz="6" w:space="0"/>
            </w:tcBorders>
            <w:shd w:val="clear" w:color="auto" w:fill="EEF6E9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5709E7AD">
            <w:pPr>
              <w:spacing w:after="60"/>
            </w:pPr>
            <w:r>
              <w:rPr>
                <w:rFonts w:ascii="微软雅黑" w:hAnsi="微软雅黑" w:eastAsia="微软雅黑"/>
                <w:b/>
                <w:color w:val="0D3B66"/>
                <w:sz w:val="20"/>
              </w:rPr>
              <w:t xml:space="preserve">阅读说明  </w:t>
            </w:r>
            <w:r>
              <w:rPr>
                <w:rFonts w:ascii="微软雅黑" w:hAnsi="微软雅黑" w:eastAsia="微软雅黑"/>
                <w:color w:val="1F2937"/>
                <w:sz w:val="19"/>
              </w:rPr>
              <w:t>本方案为通用型技术与业务方案。具体点位、协议、第三方接口、远控权限、施工边界、性能指标和验收口径，应以项目需求、现场勘察、合同及深化设计文件为准。</w:t>
            </w:r>
          </w:p>
        </w:tc>
      </w:tr>
    </w:tbl>
    <w:p w14:paraId="4CF135CB">
      <w:pPr>
        <w:spacing w:after="40"/>
      </w:pPr>
    </w:p>
    <w:p w14:paraId="048501DA">
      <w:r>
        <w:br w:type="page"/>
      </w:r>
    </w:p>
    <w:p w14:paraId="1F05CEA6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一、方案概述</w:t>
      </w:r>
    </w:p>
    <w:p w14:paraId="0482E17A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1.1 建设背景</w:t>
      </w:r>
    </w:p>
    <w:p w14:paraId="6B4B1E3A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机房、数据中心、通信站点、配电房及分布式关键设施承载着持续运行的业务系统。供配电、UPS、蓄电池、空调、环境、安防、消防接口与网络设备相互关联，单点异常往往会演变为业务中断、设备损坏、能耗失控或运维响应滞后。传统以人工巡检、单系统告警和分散台账为主的管理方式，难以满足多站点、少人值守、节能降碳与安全合规的运营要求。</w:t>
      </w:r>
    </w:p>
    <w:p w14:paraId="20571E5A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通微智慧动力环境监控系统以工业边缘接入、统一监控平台和运维闭环为基础，面向动力、环境、安防、消防接口、IT 设备与能效数据进行统一接入、可视、告警、诊断、处置和复盘。系统既可用于单机房的本地化管理，也可用于集团、多园区和多站点的集中运维。</w:t>
      </w:r>
    </w:p>
    <w:p w14:paraId="04E7CE70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1.2 建设目标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082F7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3C672F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目标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8A0FC4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系统响应</w:t>
            </w:r>
          </w:p>
        </w:tc>
      </w:tr>
      <w:tr w14:paraId="6438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ABDC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状态可见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CA93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建立站点、机房、机柜、设备与测点台账；集中展示在线状态、实时参数、趋势和空间位置。</w:t>
            </w:r>
          </w:p>
        </w:tc>
      </w:tr>
      <w:tr w14:paraId="4B7A9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3D6E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风险早发现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9BFE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通过阈值、变化率、关联规则和异常模式识别，及时发现供电、温湿度、漏水、制冷、电池、网络和设备故障。</w:t>
            </w:r>
          </w:p>
        </w:tc>
      </w:tr>
      <w:tr w14:paraId="6E68E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638F8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处置可闭环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720F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将告警分级、通知、确认、升级、远程诊断、工单、巡检、反馈和报表关联起来，形成责任到人、过程留痕的闭环。</w:t>
            </w:r>
          </w:p>
        </w:tc>
      </w:tr>
      <w:tr w14:paraId="66380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EDF9A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能效可量化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E3A94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按总进线、UPS、配电支路、机柜、制冷及辅助系统进行分项计量，形成 PUE/能效与异常用能分析的基础数据。</w:t>
            </w:r>
          </w:p>
        </w:tc>
      </w:tr>
      <w:tr w14:paraId="11FB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B75F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平台可持续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EA53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通过标准协议、设备模型、边缘缓存、开放接口、权限审计和可扩展部署，支持存量改造与后续扩容。</w:t>
            </w:r>
          </w:p>
        </w:tc>
      </w:tr>
    </w:tbl>
    <w:p w14:paraId="5335CD0D">
      <w:pPr>
        <w:spacing w:after="60"/>
      </w:pPr>
    </w:p>
    <w:p w14:paraId="4C49E47A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1.3 适用场景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03C47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57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4F4347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场景</w:t>
            </w:r>
          </w:p>
        </w:tc>
        <w:tc>
          <w:tcPr>
            <w:tcW w:w="4025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3EE458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重点关注对象</w:t>
            </w:r>
          </w:p>
        </w:tc>
        <w:tc>
          <w:tcPr>
            <w:tcW w:w="3458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8304AB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典型价值</w:t>
            </w:r>
          </w:p>
        </w:tc>
      </w:tr>
      <w:tr w14:paraId="3BC44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0F89D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小型机房 / 一体化机柜</w:t>
            </w:r>
          </w:p>
        </w:tc>
        <w:tc>
          <w:tcPr>
            <w:tcW w:w="402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51C0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温湿度、漏水、市电、UPS、空调、门禁、视频、网络连通性</w:t>
            </w:r>
          </w:p>
        </w:tc>
        <w:tc>
          <w:tcPr>
            <w:tcW w:w="345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ED2E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快速部署、断网可用、远程告警与少人值守。</w:t>
            </w:r>
          </w:p>
        </w:tc>
      </w:tr>
      <w:tr w14:paraId="66639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8486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数据中心 / 高密机房</w:t>
            </w:r>
          </w:p>
        </w:tc>
        <w:tc>
          <w:tcPr>
            <w:tcW w:w="402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14DB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机柜微环境、列头柜、UPS 电池、精密空调、冷热通道、能效与容量</w:t>
            </w:r>
          </w:p>
        </w:tc>
        <w:tc>
          <w:tcPr>
            <w:tcW w:w="3458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2B39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保障连续运行，支撑能效管理、容量分析和预防性维护。</w:t>
            </w:r>
          </w:p>
        </w:tc>
      </w:tr>
      <w:tr w14:paraId="7C31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505D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通信局站 / 基站配套</w:t>
            </w:r>
          </w:p>
        </w:tc>
        <w:tc>
          <w:tcPr>
            <w:tcW w:w="402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EEF7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通信电源、空调、环境、门禁、图像与前端智能设备协议</w:t>
            </w:r>
          </w:p>
        </w:tc>
        <w:tc>
          <w:tcPr>
            <w:tcW w:w="345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99BE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多站点集中运维，按通信行业标准与运营商规范进行适配。</w:t>
            </w:r>
          </w:p>
        </w:tc>
      </w:tr>
      <w:tr w14:paraId="242C5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00192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配电房 / 能源设施</w:t>
            </w:r>
          </w:p>
        </w:tc>
        <w:tc>
          <w:tcPr>
            <w:tcW w:w="402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6A9BB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市电、开关状态、电能质量、UPS、ATS、柴发或储能接口</w:t>
            </w:r>
          </w:p>
        </w:tc>
        <w:tc>
          <w:tcPr>
            <w:tcW w:w="3458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E80E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提升供电链路可视性和故障响应效率；保护与安全联锁仍由现场专业系统承担。</w:t>
            </w:r>
          </w:p>
        </w:tc>
      </w:tr>
      <w:tr w14:paraId="0AC8D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D5CC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园区多站点运维</w:t>
            </w:r>
          </w:p>
        </w:tc>
        <w:tc>
          <w:tcPr>
            <w:tcW w:w="402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857B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多品牌设备、告警、巡检、工单、能耗和服务台账</w:t>
            </w:r>
          </w:p>
        </w:tc>
        <w:tc>
          <w:tcPr>
            <w:tcW w:w="345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57B2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统一运营报表、服务依据和可复用的运维经验。</w:t>
            </w:r>
          </w:p>
        </w:tc>
      </w:tr>
    </w:tbl>
    <w:p w14:paraId="06A7D6B1">
      <w:pPr>
        <w:spacing w:after="60"/>
      </w:pP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9"/>
      </w:tblGrid>
      <w:tr w14:paraId="07CFE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9" w:type="dxa"/>
            <w:tcBorders>
              <w:top w:val="single" w:color="175C92" w:sz="6" w:space="0"/>
              <w:left w:val="single" w:color="175C92" w:sz="6" w:space="0"/>
              <w:bottom w:val="single" w:color="175C92" w:sz="6" w:space="0"/>
              <w:right w:val="single" w:color="175C92" w:sz="6" w:space="0"/>
            </w:tcBorders>
            <w:shd w:val="clear" w:color="auto" w:fill="EAF3F8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5447FB2E">
            <w:pPr>
              <w:spacing w:after="60"/>
            </w:pPr>
            <w:r>
              <w:rPr>
                <w:rFonts w:ascii="微软雅黑" w:hAnsi="微软雅黑" w:eastAsia="微软雅黑"/>
                <w:b/>
                <w:color w:val="0D3B66"/>
                <w:sz w:val="20"/>
              </w:rPr>
              <w:t xml:space="preserve">通用方案定位  </w:t>
            </w:r>
            <w:r>
              <w:rPr>
                <w:rFonts w:ascii="微软雅黑" w:hAnsi="微软雅黑" w:eastAsia="微软雅黑"/>
                <w:color w:val="1F2937"/>
                <w:sz w:val="19"/>
              </w:rPr>
              <w:t>本方案提供监控、数据服务和运维闭环能力。对通信、数据中心、政企机房、能源设施等项目，需按其专用规范和建设目标选择适用模块。</w:t>
            </w:r>
          </w:p>
        </w:tc>
      </w:tr>
    </w:tbl>
    <w:p w14:paraId="2F84F54D">
      <w:pPr>
        <w:spacing w:after="40"/>
      </w:pPr>
    </w:p>
    <w:p w14:paraId="3F3B7DD8">
      <w:r>
        <w:br w:type="page"/>
      </w:r>
    </w:p>
    <w:p w14:paraId="71E8A689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二、建设目标、范围与安全边界</w:t>
      </w:r>
    </w:p>
    <w:p w14:paraId="12D88C6F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2.1 建设原则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27261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D70D10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原则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08E34F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说明</w:t>
            </w:r>
          </w:p>
        </w:tc>
      </w:tr>
      <w:tr w14:paraId="71BE4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D248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先梳理再接入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4531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先确认站点、设备、点位、协议、网络、告警责任人和验收目标，再进行设备选型与实施。</w:t>
            </w:r>
          </w:p>
        </w:tc>
      </w:tr>
      <w:tr w14:paraId="33126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B42CB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端边云协同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9928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现场由网关完成协议接入、数据缓存和经确认的本地联动；平台完成集中管理、跨站分析、工单与报表。</w:t>
            </w:r>
          </w:p>
        </w:tc>
      </w:tr>
      <w:tr w14:paraId="1C497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B55B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分级建设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1BE47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以基础监控为起点，按项目逐步扩展能效、微环境、预测性维护、3D 可视化和 AI 辅助分析。</w:t>
            </w:r>
          </w:p>
        </w:tc>
      </w:tr>
      <w:tr w14:paraId="025E7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83AF2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开放兼容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D9DD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优先采用设备已开放且经验证的通信接口，保留第三方平台 API 与数据导出能力。</w:t>
            </w:r>
          </w:p>
        </w:tc>
      </w:tr>
      <w:tr w14:paraId="39A48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9531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安全可控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A2D6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远控、消防接口、门禁、视频、设备升级和数据共享均需按最小权限、双人复核或项目授权策略执行。</w:t>
            </w:r>
          </w:p>
        </w:tc>
      </w:tr>
    </w:tbl>
    <w:p w14:paraId="709C3818">
      <w:pPr>
        <w:spacing w:after="60"/>
      </w:pPr>
    </w:p>
    <w:p w14:paraId="49A53D6A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2.2 业务边界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792F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B490B8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能力范围</w:t>
            </w:r>
          </w:p>
        </w:tc>
        <w:tc>
          <w:tcPr>
            <w:tcW w:w="3685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4B6BD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平台可提供</w:t>
            </w:r>
          </w:p>
        </w:tc>
        <w:tc>
          <w:tcPr>
            <w:tcW w:w="3855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879579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不替代 / 需项目确认</w:t>
            </w:r>
          </w:p>
        </w:tc>
      </w:tr>
      <w:tr w14:paraId="011EF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2047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动力与环境</w:t>
            </w:r>
          </w:p>
        </w:tc>
        <w:tc>
          <w:tcPr>
            <w:tcW w:w="3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1A23B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数据采集、状态监测、阈值告警、趋势分析、经授权的设备控制与联动。</w:t>
            </w:r>
          </w:p>
        </w:tc>
        <w:tc>
          <w:tcPr>
            <w:tcW w:w="385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600D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继电保护、ATS 切换、发电机控制、UPS 核心控制及安全联锁由设备或专业控制系统承担。</w:t>
            </w:r>
          </w:p>
        </w:tc>
      </w:tr>
      <w:tr w14:paraId="11AB5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C2DA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消防</w:t>
            </w:r>
          </w:p>
        </w:tc>
        <w:tc>
          <w:tcPr>
            <w:tcW w:w="368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7653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接收火灾报警主机或消防系统的合规接口信息，进行状态展示、事件通知和工单协同。</w:t>
            </w:r>
          </w:p>
        </w:tc>
        <w:tc>
          <w:tcPr>
            <w:tcW w:w="385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002F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不替代火灾自动报警、灭火控制、消防联动控制与消防验收；不得绕过消防系统实施控制。</w:t>
            </w:r>
          </w:p>
        </w:tc>
      </w:tr>
      <w:tr w14:paraId="0FCD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CF87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安防</w:t>
            </w:r>
          </w:p>
        </w:tc>
        <w:tc>
          <w:tcPr>
            <w:tcW w:w="3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AB180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门禁、视频、入侵报警等系统的状态接入、事件联动和运维留痕。</w:t>
            </w:r>
          </w:p>
        </w:tc>
        <w:tc>
          <w:tcPr>
            <w:tcW w:w="385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6B66C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视频存储、门禁权限策略、生物识别与公安/安防联网范围按项目及主管要求确定。</w:t>
            </w:r>
          </w:p>
        </w:tc>
      </w:tr>
      <w:tr w14:paraId="0514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F483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网络与 IT</w:t>
            </w:r>
          </w:p>
        </w:tc>
        <w:tc>
          <w:tcPr>
            <w:tcW w:w="368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618A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设备连通性、SNMP 指标、端口流量、服务器基础性能和告警事件接入。</w:t>
            </w:r>
          </w:p>
        </w:tc>
        <w:tc>
          <w:tcPr>
            <w:tcW w:w="385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386F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不替代网络管理、主机安全、业务监控、SOC 或 ITSM；接口范围及账号权限需授权。</w:t>
            </w:r>
          </w:p>
        </w:tc>
      </w:tr>
      <w:tr w14:paraId="7F431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7563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AI 辅助</w:t>
            </w:r>
          </w:p>
        </w:tc>
        <w:tc>
          <w:tcPr>
            <w:tcW w:w="3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A17F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趋势异常、关联分析、告警收敛、健康评分和运维建议。</w:t>
            </w:r>
          </w:p>
        </w:tc>
        <w:tc>
          <w:tcPr>
            <w:tcW w:w="385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5D9D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AI 输出为辅助决策，不作为安全保护、强制联锁或无人值守远控的唯一依据。</w:t>
            </w:r>
          </w:p>
        </w:tc>
      </w:tr>
    </w:tbl>
    <w:p w14:paraId="34165869">
      <w:pPr>
        <w:spacing w:after="60"/>
      </w:pPr>
    </w:p>
    <w:p w14:paraId="4F0E968D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2.3 建设范围建议</w:t>
      </w:r>
    </w:p>
    <w:p w14:paraId="60CEEB2B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基础必选：环境参数、供电状态、UPS、空调、漏水、门禁/视频接口、告警通知、历史数据与权限审计。</w:t>
      </w:r>
    </w:p>
    <w:p w14:paraId="6A74011E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可靠性增强：电池单体监测、机柜微环境、ATS/柴发接口、网络设备与服务器监控、双链路、边缘自治与平台灾备。</w:t>
      </w:r>
    </w:p>
    <w:p w14:paraId="2A720E82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能效增强：总分项计量、UPS 输入/输出、制冷链路、机柜级电量、PUE/能效分析、用能异常与报表。</w:t>
      </w:r>
    </w:p>
    <w:p w14:paraId="5995C2F7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智能运维增强：动态阈值、告警关联、根因辅助、设备健康度、预测性维护、巡检工单、知识库和可视化。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9"/>
      </w:tblGrid>
      <w:tr w14:paraId="7FD7A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9" w:type="dxa"/>
            <w:tcBorders>
              <w:top w:val="single" w:color="175C92" w:sz="6" w:space="0"/>
              <w:left w:val="single" w:color="175C92" w:sz="6" w:space="0"/>
              <w:bottom w:val="single" w:color="175C92" w:sz="6" w:space="0"/>
              <w:right w:val="single" w:color="175C92" w:sz="6" w:space="0"/>
            </w:tcBorders>
            <w:shd w:val="clear" w:color="auto" w:fill="EEF6E9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4CA664A">
            <w:pPr>
              <w:spacing w:after="60"/>
            </w:pPr>
            <w:r>
              <w:rPr>
                <w:rFonts w:ascii="微软雅黑" w:hAnsi="微软雅黑" w:eastAsia="微软雅黑"/>
                <w:b/>
                <w:color w:val="0D3B66"/>
                <w:sz w:val="20"/>
              </w:rPr>
              <w:t xml:space="preserve">远程控制原则  </w:t>
            </w:r>
            <w:r>
              <w:rPr>
                <w:rFonts w:ascii="微软雅黑" w:hAnsi="微软雅黑" w:eastAsia="微软雅黑"/>
                <w:color w:val="1F2937"/>
                <w:sz w:val="19"/>
              </w:rPr>
              <w:t>控制对象、可控命令、控制时段、二次确认、联锁条件、回执验证与操作审计应在深化设计中逐项确认。对关键动力设备，优先采用“监测 + 建议 + 人工确认”的受控模式。</w:t>
            </w:r>
          </w:p>
        </w:tc>
      </w:tr>
    </w:tbl>
    <w:p w14:paraId="28989271">
      <w:pPr>
        <w:spacing w:after="40"/>
      </w:pPr>
    </w:p>
    <w:p w14:paraId="603950C2">
      <w:r>
        <w:br w:type="page"/>
      </w:r>
    </w:p>
    <w:p w14:paraId="215B5AF1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三、总体架构与部署模式</w:t>
      </w:r>
    </w:p>
    <w:p w14:paraId="2E42057F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3.1 端边云一体总体架构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  <w:gridCol w:w="1"/>
      </w:tblGrid>
      <w:tr w14:paraId="1E49E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1814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0D3B66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7133278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现场对象层</w:t>
            </w:r>
          </w:p>
        </w:tc>
        <w:tc>
          <w:tcPr>
            <w:tcW w:w="7427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EAF3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9042E0F">
            <w:r>
              <w:rPr>
                <w:rFonts w:ascii="微软雅黑" w:hAnsi="微软雅黑" w:eastAsia="微软雅黑"/>
                <w:color w:val="1F2937"/>
                <w:sz w:val="19"/>
              </w:rPr>
              <w:t>供配电、UPS、蓄电池、空调、新风、环境、门禁、视频、消防接口、网络与 IT 设备。</w:t>
            </w:r>
          </w:p>
        </w:tc>
      </w:tr>
      <w:tr w14:paraId="140D9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1814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0D3B66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9937774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感知与控制层</w:t>
            </w:r>
          </w:p>
        </w:tc>
        <w:tc>
          <w:tcPr>
            <w:tcW w:w="7427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F4F6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3AEC480">
            <w:r>
              <w:rPr>
                <w:rFonts w:ascii="微软雅黑" w:hAnsi="微软雅黑" w:eastAsia="微软雅黑"/>
                <w:color w:val="1F2937"/>
                <w:sz w:val="19"/>
              </w:rPr>
              <w:t>仪表、传感器、采集模块、控制组件、智能设备通信接口。</w:t>
            </w:r>
          </w:p>
        </w:tc>
      </w:tr>
      <w:tr w14:paraId="387F9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1814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0D3B66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A362955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边缘接入层</w:t>
            </w:r>
          </w:p>
        </w:tc>
        <w:tc>
          <w:tcPr>
            <w:tcW w:w="7427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EEF6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F5C680D">
            <w:r>
              <w:rPr>
                <w:rFonts w:ascii="微软雅黑" w:hAnsi="微软雅黑" w:eastAsia="微软雅黑"/>
                <w:color w:val="1F2937"/>
                <w:sz w:val="19"/>
              </w:rPr>
              <w:t>SG / BEC 工业与边缘网关、SDS / IOC 模块；承担协议转换、缓存、本地规则与受控联动。</w:t>
            </w:r>
          </w:p>
        </w:tc>
      </w:tr>
      <w:tr w14:paraId="682CA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1814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0D3B66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8986EBF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平台与数据层</w:t>
            </w:r>
          </w:p>
        </w:tc>
        <w:tc>
          <w:tcPr>
            <w:tcW w:w="7427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EAF3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8EF8967">
            <w:r>
              <w:rPr>
                <w:rFonts w:ascii="微软雅黑" w:hAnsi="微软雅黑" w:eastAsia="微软雅黑"/>
                <w:color w:val="1F2937"/>
                <w:sz w:val="19"/>
              </w:rPr>
              <w:t>设备模型、实时数据、时序历史、告警、台账、报表、权限、工单、能效分析与 API。</w:t>
            </w:r>
          </w:p>
        </w:tc>
      </w:tr>
      <w:tr w14:paraId="289B9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1814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0D3B66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640D803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协同应用层</w:t>
            </w:r>
          </w:p>
        </w:tc>
        <w:tc>
          <w:tcPr>
            <w:tcW w:w="7427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F4F6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79DD950">
            <w:r>
              <w:rPr>
                <w:rFonts w:ascii="微软雅黑" w:hAnsi="微软雅黑" w:eastAsia="微软雅黑"/>
                <w:color w:val="1F2937"/>
                <w:sz w:val="19"/>
              </w:rPr>
              <w:t>PC、可视化大屏、APP / 小程序、短信/电话/微信/邮件通知，以及第三方系统集成。</w:t>
            </w:r>
          </w:p>
        </w:tc>
      </w:tr>
      <w:tr w14:paraId="6DA76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9" w:type="dxa"/>
            <w:gridSpan w:val="3"/>
            <w:tcBorders>
              <w:top w:val="single" w:color="175C92" w:sz="6" w:space="0"/>
              <w:left w:val="single" w:color="175C92" w:sz="6" w:space="0"/>
              <w:bottom w:val="single" w:color="175C92" w:sz="6" w:space="0"/>
              <w:right w:val="single" w:color="175C92" w:sz="6" w:space="0"/>
            </w:tcBorders>
            <w:shd w:val="clear" w:color="auto" w:fill="EAF3F8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55093859">
            <w:pPr>
              <w:spacing w:after="60"/>
            </w:pPr>
            <w:r>
              <w:rPr>
                <w:rFonts w:ascii="微软雅黑" w:hAnsi="微软雅黑" w:eastAsia="微软雅黑"/>
                <w:b/>
                <w:color w:val="0D3B66"/>
                <w:sz w:val="20"/>
              </w:rPr>
              <w:t xml:space="preserve">架构要点  </w:t>
            </w:r>
            <w:r>
              <w:rPr>
                <w:rFonts w:ascii="微软雅黑" w:hAnsi="微软雅黑" w:eastAsia="微软雅黑"/>
                <w:color w:val="1F2937"/>
                <w:sz w:val="19"/>
              </w:rPr>
              <w:t>协议、点位、状态、时间戳、设备位置和责任主体应统一纳入设备模型。现场本地自治与中心平台策略应具有清晰的优先级、版本和回退机制。</w:t>
            </w:r>
          </w:p>
        </w:tc>
      </w:tr>
    </w:tbl>
    <w:p w14:paraId="1ACC7F35">
      <w:pPr>
        <w:spacing w:after="40"/>
      </w:pPr>
    </w:p>
    <w:p w14:paraId="3118C11C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3.2 接入与集成方式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71C7E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57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F2EAB4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类别</w:t>
            </w:r>
          </w:p>
        </w:tc>
        <w:tc>
          <w:tcPr>
            <w:tcW w:w="2835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ECDF80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优先接入方式</w:t>
            </w:r>
          </w:p>
        </w:tc>
        <w:tc>
          <w:tcPr>
            <w:tcW w:w="4649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80B89E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适用说明</w:t>
            </w:r>
          </w:p>
        </w:tc>
      </w:tr>
      <w:tr w14:paraId="2FA98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6EDF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现场总线与智能设备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A3AB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Modbus RTU / TCP、RS485、RS232、DI / DO、设备厂家协议</w:t>
            </w:r>
          </w:p>
        </w:tc>
        <w:tc>
          <w:tcPr>
            <w:tcW w:w="464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AEBB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适用于仪表、传感器、UPS、空调、蓄电池、控制器和既有设备；协议需实测确认。</w:t>
            </w:r>
          </w:p>
        </w:tc>
      </w:tr>
      <w:tr w14:paraId="0F02A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57CB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IP 与网络设备</w:t>
            </w:r>
          </w:p>
        </w:tc>
        <w:tc>
          <w:tcPr>
            <w:tcW w:w="283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DBBA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TCP/IP、SNMP / SNMPv3、HTTP(S)、设备厂家 API</w:t>
            </w:r>
          </w:p>
        </w:tc>
        <w:tc>
          <w:tcPr>
            <w:tcW w:w="4649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89CD8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适用于网络设备、服务器、智能 PDU、UPS 网卡、精密空调和管理系统。</w:t>
            </w:r>
          </w:p>
        </w:tc>
      </w:tr>
      <w:tr w14:paraId="1C89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7AD9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消息与平台集成</w:t>
            </w:r>
          </w:p>
        </w:tc>
        <w:tc>
          <w:tcPr>
            <w:tcW w:w="283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2727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MQTT、REST API、Webhook、文件或数据库交换</w:t>
            </w:r>
          </w:p>
        </w:tc>
        <w:tc>
          <w:tcPr>
            <w:tcW w:w="464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C94B1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适用于 SaaS、私有化平台、工单、CMDB、ITSM、能效和客户既有平台的对接。</w:t>
            </w:r>
          </w:p>
        </w:tc>
      </w:tr>
      <w:tr w14:paraId="14957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A030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可选协议</w:t>
            </w:r>
          </w:p>
        </w:tc>
        <w:tc>
          <w:tcPr>
            <w:tcW w:w="283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4C224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BACnet/IP、OPC UA、Redfish、ONVIF、GB/T 28181 等</w:t>
            </w:r>
          </w:p>
        </w:tc>
        <w:tc>
          <w:tcPr>
            <w:tcW w:w="4649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6284D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在设备、许可证、网络安全策略和测试条件满足时，通过项目协议适配与联调实现。</w:t>
            </w:r>
          </w:p>
        </w:tc>
      </w:tr>
    </w:tbl>
    <w:p w14:paraId="12909764">
      <w:pPr>
        <w:spacing w:after="60"/>
      </w:pPr>
    </w:p>
    <w:p w14:paraId="5F6884B7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3.3 部署模式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57822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1015E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模式</w:t>
            </w:r>
          </w:p>
        </w:tc>
        <w:tc>
          <w:tcPr>
            <w:tcW w:w="272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E4D687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适用对象</w:t>
            </w:r>
          </w:p>
        </w:tc>
        <w:tc>
          <w:tcPr>
            <w:tcW w:w="4819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B37E9D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特点与边界</w:t>
            </w:r>
          </w:p>
        </w:tc>
      </w:tr>
      <w:tr w14:paraId="32F5A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1EC8B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SaaS 云服务</w:t>
            </w:r>
          </w:p>
        </w:tc>
        <w:tc>
          <w:tcPr>
            <w:tcW w:w="272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DCFB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标准化、多站点、快速开通项目</w:t>
            </w:r>
          </w:p>
        </w:tc>
        <w:tc>
          <w:tcPr>
            <w:tcW w:w="481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4046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按设备或站点运营；需明确数据归属、租户隔离、通知费用、出口网络与安全责任。</w:t>
            </w:r>
          </w:p>
        </w:tc>
      </w:tr>
      <w:tr w14:paraId="3AEA6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E395B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本地 / 私有化</w:t>
            </w:r>
          </w:p>
        </w:tc>
        <w:tc>
          <w:tcPr>
            <w:tcW w:w="272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7225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政企、关键基础设施、数据不出域或内网环境</w:t>
            </w:r>
          </w:p>
        </w:tc>
        <w:tc>
          <w:tcPr>
            <w:tcW w:w="4819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D5EC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部署在客户指定环境；需明确服务器、数据库、备份、补丁、证书和运维责任。</w:t>
            </w:r>
          </w:p>
        </w:tc>
      </w:tr>
      <w:tr w14:paraId="2772F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25698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混合部署</w:t>
            </w:r>
          </w:p>
        </w:tc>
        <w:tc>
          <w:tcPr>
            <w:tcW w:w="272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6A8D7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本地实时性与集团集中运营兼顾</w:t>
            </w:r>
          </w:p>
        </w:tc>
        <w:tc>
          <w:tcPr>
            <w:tcW w:w="481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868E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现场保留边缘自治与本地缓存；中心汇聚数据和运维管理，按授权实施上送。</w:t>
            </w:r>
          </w:p>
        </w:tc>
      </w:tr>
      <w:tr w14:paraId="3A2E3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4605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OEM / API 对接</w:t>
            </w:r>
          </w:p>
        </w:tc>
        <w:tc>
          <w:tcPr>
            <w:tcW w:w="272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6424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设备厂家、集成商与已有平台项目</w:t>
            </w:r>
          </w:p>
        </w:tc>
        <w:tc>
          <w:tcPr>
            <w:tcW w:w="4819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2A3FA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页面、租户、开放接口、远控权限、二次开发和 SLA 需在合同中逐项约定。</w:t>
            </w:r>
          </w:p>
        </w:tc>
      </w:tr>
    </w:tbl>
    <w:p w14:paraId="6453B048">
      <w:pPr>
        <w:spacing w:after="60"/>
      </w:pPr>
    </w:p>
    <w:p w14:paraId="472979DA">
      <w:r>
        <w:br w:type="page"/>
      </w:r>
    </w:p>
    <w:p w14:paraId="259C241B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四、现场监控与控制子系统</w:t>
      </w:r>
    </w:p>
    <w:p w14:paraId="58A0C9A9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现场子系统以“关键风险优先、分层分级配置”为原则。通用方案给出典型监测对象，具体点位、量程、精度、安装方式、采样周期、告警阈值和控制逻辑，应依据现场条件、设备说明书、设计规范及客户运行制度确定。</w:t>
      </w:r>
    </w:p>
    <w:p w14:paraId="70DAE782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4.1 环境与机柜微环境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3216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107A33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项目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F69290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典型能力</w:t>
            </w:r>
          </w:p>
        </w:tc>
      </w:tr>
      <w:tr w14:paraId="34479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2B16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基础环境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12F5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温度、相对湿度、漏水/漏液、烟感接口、门磁、红外入侵、照明与风机状态。</w:t>
            </w:r>
          </w:p>
        </w:tc>
      </w:tr>
      <w:tr w14:paraId="77A4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CC4DD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微环境增强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E665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机柜进/出风温湿度、冷热通道温度、压差、气流、机柜门状态、智能 PDU 与机柜级电量。</w:t>
            </w:r>
          </w:p>
        </w:tc>
      </w:tr>
      <w:tr w14:paraId="5A59B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2BC3B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实施要点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28B6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环境目标以设备厂家要求、设计标准和分区策略为准；不将单一 22-25℃、40%-60% 作为所有场景的固定验收指标。</w:t>
            </w:r>
          </w:p>
        </w:tc>
      </w:tr>
    </w:tbl>
    <w:p w14:paraId="2097EC4C">
      <w:pPr>
        <w:spacing w:after="60"/>
      </w:pPr>
    </w:p>
    <w:p w14:paraId="66C5773B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4.2 供配电、UPS 与电池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423D8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753E55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项目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9829EB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典型能力</w:t>
            </w:r>
          </w:p>
        </w:tc>
      </w:tr>
      <w:tr w14:paraId="4BD9C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7A70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市电与配电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98B7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相电压、相电流、频率、功率、有功/无功电能、功率因数、开关状态；按需求扩展谐波、三相不平衡、需量、温升、剩余电流等。</w:t>
            </w:r>
          </w:p>
        </w:tc>
      </w:tr>
      <w:tr w14:paraId="17A6B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5DF7C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UPS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7DA72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输入、输出、旁路、电池、负载、告警、运行模式与网络/串口状态。远程关机、旁路切换等高风险命令默认不作为通用能力承诺。</w:t>
            </w:r>
          </w:p>
        </w:tc>
      </w:tr>
      <w:tr w14:paraId="40E8E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E232E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蓄电池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7260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单体电压、内阻/阻抗、表面温度、组压、充放电电流、后备时间估算和落后单体识别；电池类型、串数和监测方式按项目配置。</w:t>
            </w:r>
          </w:p>
        </w:tc>
      </w:tr>
      <w:tr w14:paraId="5FC2F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009A6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供电韧性选配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710F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ATS、柴油发电机、油位、直流屏、储能/BMS 与光储充接口可按项目接入；保护定值、切换与联锁仍由专业系统执行。</w:t>
            </w:r>
          </w:p>
        </w:tc>
      </w:tr>
    </w:tbl>
    <w:p w14:paraId="68913F43">
      <w:pPr>
        <w:spacing w:after="60"/>
      </w:pPr>
    </w:p>
    <w:p w14:paraId="7B14407B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4.3 制冷、新风与水系统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6AE6C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2627A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项目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421046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典型能力</w:t>
            </w:r>
          </w:p>
        </w:tc>
      </w:tr>
      <w:tr w14:paraId="01DEA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AFFA3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普通与精密空调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068C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运行状态、回风温湿度、设定值、压缩机/风机状态、滤网、告警和厂家开放参数。</w:t>
            </w:r>
          </w:p>
        </w:tc>
      </w:tr>
      <w:tr w14:paraId="6162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E2937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制冷链路增强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6B5B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冷热通道、冷冻水供回水温度、温差、流量、压差、阀门、泵组、冷凝水、冷媒泄漏等按场景选配。</w:t>
            </w:r>
          </w:p>
        </w:tc>
      </w:tr>
      <w:tr w14:paraId="753C0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3E48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控制策略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DACE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支持经确认的轮值、定时、阈值联动和节能建议；自动控制策略应含最小启停时间、互锁、回执验证、人工接管与异常回退。</w:t>
            </w:r>
          </w:p>
        </w:tc>
      </w:tr>
    </w:tbl>
    <w:p w14:paraId="280D0F10">
      <w:pPr>
        <w:spacing w:after="60"/>
      </w:pPr>
    </w:p>
    <w:p w14:paraId="14D9A813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4.4 安防、消防接口与视频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750E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E73F5A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项目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A54C7E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典型能力</w:t>
            </w:r>
          </w:p>
        </w:tc>
      </w:tr>
      <w:tr w14:paraId="1DF1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1179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门禁与入侵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49AC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门状态、进出记录、非法开门、门禁设备在线、入侵报警接口与事件联动。</w:t>
            </w:r>
          </w:p>
        </w:tc>
      </w:tr>
      <w:tr w14:paraId="1C227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C767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视频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5F8F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支持 IP 视频平台或符合项目要求的视频接口；视频事件可与告警、工单、地图或预置位联动。</w:t>
            </w:r>
          </w:p>
        </w:tc>
      </w:tr>
      <w:tr w14:paraId="14C11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88CCB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消防边界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8DC53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动环平台以接收合规消防接口状态、通知和协同处置为主；火灾报警、气体灭火、排烟和防火联动必须由消防专业系统及其规范控制。</w:t>
            </w:r>
          </w:p>
        </w:tc>
      </w:tr>
    </w:tbl>
    <w:p w14:paraId="1EF478EB">
      <w:pPr>
        <w:spacing w:after="60"/>
      </w:pPr>
    </w:p>
    <w:p w14:paraId="48F56B01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4.5 网络与 IT 设备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6B666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ECA359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项目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399F2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典型能力</w:t>
            </w:r>
          </w:p>
        </w:tc>
      </w:tr>
      <w:tr w14:paraId="0FF0C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2BBF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连通性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B8CB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PING、端口连通、网络时延、丢包率与设备离线检测。</w:t>
            </w:r>
          </w:p>
        </w:tc>
      </w:tr>
      <w:tr w14:paraId="7F409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6A053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网络设备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EF07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通过 SNMP / SNMPv3 或厂家接口接入端口状态、流量、错误、CPU/内存、温度和告警。</w:t>
            </w:r>
          </w:p>
        </w:tc>
      </w:tr>
      <w:tr w14:paraId="1847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9D90D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服务器与应用基础指标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4C6B3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按授权采集 CPU、内存、磁盘、进程/服务、温度和基础健康状态；业务层监控由专业运维平台或 API 对接承担。</w:t>
            </w:r>
          </w:p>
        </w:tc>
      </w:tr>
    </w:tbl>
    <w:p w14:paraId="7722288C">
      <w:pPr>
        <w:spacing w:after="60"/>
      </w:pPr>
    </w:p>
    <w:p w14:paraId="09558B57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4.6 能效、用能与碳数据基础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42F9B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A4E98F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层级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BBEB53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典型采集与分析</w:t>
            </w:r>
          </w:p>
        </w:tc>
      </w:tr>
      <w:tr w14:paraId="60AC9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3C7E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总量与分项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2CB2D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市电总进线、变压器/配电、UPS 输入输出、空调与制冷、照明、机柜/列头柜、辅助系统等分类分项计量。</w:t>
            </w:r>
          </w:p>
        </w:tc>
      </w:tr>
      <w:tr w14:paraId="25A02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3C5E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数据质量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4D2A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表计校验、时间同步、缺失值标识、异常值识别、能量平衡核对、数据变更留痕。</w:t>
            </w:r>
          </w:p>
        </w:tc>
      </w:tr>
      <w:tr w14:paraId="64F3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9771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运营指标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DBF8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PUE、用电量、负荷曲线、峰平谷、功率因数、制冷占比、机柜密度、单位面积/单位负载能耗等。</w:t>
            </w:r>
          </w:p>
        </w:tc>
      </w:tr>
      <w:tr w14:paraId="5F9D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90FC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扩展能力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AFE0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按客户需求接入水、气、冷、热、光储充等数据；碳核算应采用客户确认的边界、方法学和排放因子版本。</w:t>
            </w:r>
          </w:p>
        </w:tc>
      </w:tr>
    </w:tbl>
    <w:p w14:paraId="79EEBCE8">
      <w:pPr>
        <w:spacing w:after="60"/>
      </w:pPr>
    </w:p>
    <w:p w14:paraId="1763F8FA">
      <w:r>
        <w:br w:type="page"/>
      </w:r>
    </w:p>
    <w:p w14:paraId="64171459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五、平台、智能运维与数据服务</w:t>
      </w:r>
    </w:p>
    <w:p w14:paraId="331B46E7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5.1 平台功能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7E6C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9296D9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功能域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11FD38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核心能力</w:t>
            </w:r>
          </w:p>
        </w:tc>
      </w:tr>
      <w:tr w14:paraId="7823D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76736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统一监控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C6F31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站点树、电子地图、组态/拓扑、实时数据、设备状态、趋势曲线、历史回放与多维检索。</w:t>
            </w:r>
          </w:p>
        </w:tc>
      </w:tr>
      <w:tr w14:paraId="65CD5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4DD9D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设备与数据治理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13D8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站点、机房、机柜、设备、测点和责任人台账；统一单位、量程、质量状态、标签与数据保留策略。</w:t>
            </w:r>
          </w:p>
        </w:tc>
      </w:tr>
      <w:tr w14:paraId="48F9C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D271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告警管理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4222F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分级、去重、延时确认、抑制、维护窗口、告警组、关联压缩、通知、确认、升级与关闭。</w:t>
            </w:r>
          </w:p>
        </w:tc>
      </w:tr>
      <w:tr w14:paraId="58DC8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4024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运维闭环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3D90D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工单派发、巡检计划、移动反馈、照片/附件、值班交接、故障知识、服务报告和 KPI 统计。</w:t>
            </w:r>
          </w:p>
        </w:tc>
      </w:tr>
      <w:tr w14:paraId="1BDAA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1121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数据分析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3D62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报表、同比环比、趋势、容量、能效、异常用能、设备健康度、告警与工单效率分析。</w:t>
            </w:r>
          </w:p>
        </w:tc>
      </w:tr>
      <w:tr w14:paraId="0682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30B8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多端协同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6D14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PC、大屏、APP/小程序和消息通知；移动端侧重告警确认、工单处置、巡检和现场取证。</w:t>
            </w:r>
          </w:p>
        </w:tc>
      </w:tr>
    </w:tbl>
    <w:p w14:paraId="7604F6DD">
      <w:pPr>
        <w:spacing w:after="60"/>
      </w:pPr>
    </w:p>
    <w:p w14:paraId="2EA29390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5.2 告警到处置的闭环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00"/>
        <w:gridCol w:w="1700"/>
        <w:gridCol w:w="1700"/>
        <w:gridCol w:w="1700"/>
        <w:gridCol w:w="1700"/>
      </w:tblGrid>
      <w:tr w14:paraId="20370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2" w:type="dxa"/>
            <w:shd w:val="clear" w:color="auto" w:fill="0D3B66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58CB79D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监测</w:t>
            </w:r>
          </w:p>
          <w:p w14:paraId="4ED9A883">
            <w:pPr>
              <w:spacing w:after="0"/>
              <w:jc w:val="center"/>
            </w:pPr>
            <w:r>
              <w:rPr>
                <w:rFonts w:ascii="微软雅黑" w:hAnsi="微软雅黑" w:eastAsia="微软雅黑"/>
                <w:color w:val="DDEBFA"/>
                <w:sz w:val="16"/>
              </w:rPr>
              <w:t>采集与质量校验</w:t>
            </w:r>
          </w:p>
        </w:tc>
        <w:tc>
          <w:tcPr>
            <w:tcW w:w="1542" w:type="dxa"/>
            <w:shd w:val="clear" w:color="auto" w:fill="175C92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2B5618A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识别</w:t>
            </w:r>
          </w:p>
          <w:p w14:paraId="6EF58483">
            <w:pPr>
              <w:spacing w:after="0"/>
              <w:jc w:val="center"/>
            </w:pPr>
            <w:r>
              <w:rPr>
                <w:rFonts w:ascii="微软雅黑" w:hAnsi="微软雅黑" w:eastAsia="微软雅黑"/>
                <w:color w:val="DDEBFA"/>
                <w:sz w:val="16"/>
              </w:rPr>
              <w:t>阈值、趋势、关联规则</w:t>
            </w:r>
          </w:p>
        </w:tc>
        <w:tc>
          <w:tcPr>
            <w:tcW w:w="1542" w:type="dxa"/>
            <w:shd w:val="clear" w:color="auto" w:fill="0D3B66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523F33C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通知</w:t>
            </w:r>
          </w:p>
          <w:p w14:paraId="1B4F4294">
            <w:pPr>
              <w:spacing w:after="0"/>
              <w:jc w:val="center"/>
            </w:pPr>
            <w:r>
              <w:rPr>
                <w:rFonts w:ascii="微软雅黑" w:hAnsi="微软雅黑" w:eastAsia="微软雅黑"/>
                <w:color w:val="DDEBFA"/>
                <w:sz w:val="16"/>
              </w:rPr>
              <w:t>分级、到人、升级</w:t>
            </w:r>
          </w:p>
        </w:tc>
        <w:tc>
          <w:tcPr>
            <w:tcW w:w="1542" w:type="dxa"/>
            <w:shd w:val="clear" w:color="auto" w:fill="175C92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DE1FBB0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诊断</w:t>
            </w:r>
          </w:p>
          <w:p w14:paraId="6ED49AB4">
            <w:pPr>
              <w:spacing w:after="0"/>
              <w:jc w:val="center"/>
            </w:pPr>
            <w:r>
              <w:rPr>
                <w:rFonts w:ascii="微软雅黑" w:hAnsi="微软雅黑" w:eastAsia="微软雅黑"/>
                <w:color w:val="DDEBFA"/>
                <w:sz w:val="16"/>
              </w:rPr>
              <w:t>数据、拓扑、视频、历史</w:t>
            </w:r>
          </w:p>
        </w:tc>
        <w:tc>
          <w:tcPr>
            <w:tcW w:w="1542" w:type="dxa"/>
            <w:shd w:val="clear" w:color="auto" w:fill="0D3B66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080F835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处置</w:t>
            </w:r>
          </w:p>
          <w:p w14:paraId="19A04F27">
            <w:pPr>
              <w:spacing w:after="0"/>
              <w:jc w:val="center"/>
            </w:pPr>
            <w:r>
              <w:rPr>
                <w:rFonts w:ascii="微软雅黑" w:hAnsi="微软雅黑" w:eastAsia="微软雅黑"/>
                <w:color w:val="DDEBFA"/>
                <w:sz w:val="16"/>
              </w:rPr>
              <w:t>远程协同或工单巡检</w:t>
            </w:r>
          </w:p>
        </w:tc>
        <w:tc>
          <w:tcPr>
            <w:tcW w:w="1542" w:type="dxa"/>
            <w:shd w:val="clear" w:color="auto" w:fill="175C92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60B3BEE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复盘</w:t>
            </w:r>
          </w:p>
          <w:p w14:paraId="48FDFA65">
            <w:pPr>
              <w:spacing w:after="0"/>
              <w:jc w:val="center"/>
            </w:pPr>
            <w:r>
              <w:rPr>
                <w:rFonts w:ascii="微软雅黑" w:hAnsi="微软雅黑" w:eastAsia="微软雅黑"/>
                <w:color w:val="DDEBFA"/>
                <w:sz w:val="16"/>
              </w:rPr>
              <w:t>结案、报表、经验沉淀</w:t>
            </w:r>
          </w:p>
        </w:tc>
      </w:tr>
    </w:tbl>
    <w:p w14:paraId="1C79B02F">
      <w:pPr>
        <w:keepLines/>
        <w:spacing w:after="100" w:line="341" w:lineRule="auto"/>
      </w:pPr>
      <w:r>
        <w:rPr>
          <w:rFonts w:ascii="微软雅黑" w:hAnsi="微软雅黑" w:eastAsia="微软雅黑"/>
          <w:color w:val="1F2937"/>
          <w:sz w:val="20"/>
        </w:rPr>
        <w:t>告警不以“发送成功”作为闭环终点。平台应记录事件来源、级别、责任人、通知记录、确认时间、处置过程、恢复验证、关闭原因和复盘结论；对重复性告警应形成规则优化或维护计划。</w:t>
      </w:r>
    </w:p>
    <w:p w14:paraId="4D96AAC1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5.3 AI 辅助运维能力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4B5F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57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3AF4AE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能力</w:t>
            </w:r>
          </w:p>
        </w:tc>
        <w:tc>
          <w:tcPr>
            <w:tcW w:w="3742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83B23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实现方式</w:t>
            </w:r>
          </w:p>
        </w:tc>
        <w:tc>
          <w:tcPr>
            <w:tcW w:w="3742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78D88C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使用约束</w:t>
            </w:r>
          </w:p>
        </w:tc>
      </w:tr>
      <w:tr w14:paraId="75D09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8545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异常模式识别</w:t>
            </w:r>
          </w:p>
        </w:tc>
        <w:tc>
          <w:tcPr>
            <w:tcW w:w="37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D35D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边缘侧结合阈值、变化率、趋势和异常模式进行实时识别；中心侧进行跨设备关联。</w:t>
            </w:r>
          </w:p>
        </w:tc>
        <w:tc>
          <w:tcPr>
            <w:tcW w:w="37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110A4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需基于足够历史数据、已确认的设备工况和项目验收规则进行配置。</w:t>
            </w:r>
          </w:p>
        </w:tc>
      </w:tr>
      <w:tr w14:paraId="068B5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FCA88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告警关联与根因辅助</w:t>
            </w:r>
          </w:p>
        </w:tc>
        <w:tc>
          <w:tcPr>
            <w:tcW w:w="374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72D9F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按拓扑、供电链路、设备依赖和时间窗口收敛同源告警，提供排查优先级。</w:t>
            </w:r>
          </w:p>
        </w:tc>
        <w:tc>
          <w:tcPr>
            <w:tcW w:w="374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FB4D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仅辅助定位，不替代人工判断和专业工程师结论。</w:t>
            </w:r>
          </w:p>
        </w:tc>
      </w:tr>
      <w:tr w14:paraId="7D098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EB02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健康度与预测</w:t>
            </w:r>
          </w:p>
        </w:tc>
        <w:tc>
          <w:tcPr>
            <w:tcW w:w="37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0B591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对 UPS、电池、空调、网络等对象进行趋势分析、风险提示和维护窗口建议。</w:t>
            </w:r>
          </w:p>
        </w:tc>
        <w:tc>
          <w:tcPr>
            <w:tcW w:w="37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516E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预测结果不作为保护动作或强制更换依据，需结合检测与现场核实。</w:t>
            </w:r>
          </w:p>
        </w:tc>
      </w:tr>
      <w:tr w14:paraId="3C1B7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7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7D7CC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知识与报告</w:t>
            </w:r>
          </w:p>
        </w:tc>
        <w:tc>
          <w:tcPr>
            <w:tcW w:w="374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F2753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将手册、工单和案例沉淀为可检索知识，辅助生成巡检与运行报告。</w:t>
            </w:r>
          </w:p>
        </w:tc>
        <w:tc>
          <w:tcPr>
            <w:tcW w:w="374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7371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知识来源、权限、脱敏与模型使用范围需受控管理。</w:t>
            </w:r>
          </w:p>
        </w:tc>
      </w:tr>
    </w:tbl>
    <w:p w14:paraId="330338A1">
      <w:pPr>
        <w:spacing w:after="60"/>
      </w:pP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9"/>
      </w:tblGrid>
      <w:tr w14:paraId="3184D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9" w:type="dxa"/>
            <w:tcBorders>
              <w:top w:val="single" w:color="175C92" w:sz="6" w:space="0"/>
              <w:left w:val="single" w:color="175C92" w:sz="6" w:space="0"/>
              <w:bottom w:val="single" w:color="175C92" w:sz="6" w:space="0"/>
              <w:right w:val="single" w:color="175C92" w:sz="6" w:space="0"/>
            </w:tcBorders>
            <w:shd w:val="clear" w:color="auto" w:fill="EEF6E9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CD908ED">
            <w:pPr>
              <w:spacing w:after="60"/>
            </w:pPr>
            <w:r>
              <w:rPr>
                <w:rFonts w:ascii="微软雅黑" w:hAnsi="微软雅黑" w:eastAsia="微软雅黑"/>
                <w:b/>
                <w:color w:val="0D3B66"/>
                <w:sz w:val="20"/>
              </w:rPr>
              <w:t xml:space="preserve">AI 使用原则  </w:t>
            </w:r>
            <w:r>
              <w:rPr>
                <w:rFonts w:ascii="微软雅黑" w:hAnsi="微软雅黑" w:eastAsia="微软雅黑"/>
                <w:color w:val="1F2937"/>
                <w:sz w:val="19"/>
              </w:rPr>
              <w:t>边缘 AI 负责靠近现场的实时识别、策略执行、缓存与上送；中心 AI 负责全局诊断、趋势预测与策略沉淀。所有 AI 结论均应可追溯到原始数据、规则或模型版本。</w:t>
            </w:r>
          </w:p>
        </w:tc>
      </w:tr>
    </w:tbl>
    <w:p w14:paraId="393112EB">
      <w:pPr>
        <w:spacing w:after="40"/>
      </w:pPr>
    </w:p>
    <w:p w14:paraId="2FCA28E0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5.4 报表体系</w:t>
      </w:r>
    </w:p>
    <w:p w14:paraId="49D8923E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运行类：站点在线率、设备告警、通信质量、环境合规、供电与制冷运行状态。</w:t>
      </w:r>
    </w:p>
    <w:p w14:paraId="194A41B3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运维类：告警量、确认率、MTTA、MTTR、工单及时率、重复故障、巡检完成率与 SLA。</w:t>
      </w:r>
    </w:p>
    <w:p w14:paraId="5D270CAE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能效类：PUE、总量与分项能耗、峰平谷、负荷率、制冷占比、异常能耗和节能建议。</w:t>
      </w:r>
    </w:p>
    <w:p w14:paraId="54899133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管理类：设备台账、寿命与维保计划、权限与操作审计、数据备份与恢复记录。</w:t>
      </w:r>
    </w:p>
    <w:p w14:paraId="16509B7E">
      <w:r>
        <w:br w:type="page"/>
      </w:r>
    </w:p>
    <w:p w14:paraId="63E2822E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六、网络安全、数据安全与可靠性设计</w:t>
      </w:r>
    </w:p>
    <w:p w14:paraId="6BC770FC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6.1 安全设计目标</w:t>
      </w:r>
    </w:p>
    <w:p w14:paraId="25F93F1D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动环平台同时连接现场设备、管理网络、视频门禁、移动端和第三方系统，属于典型的 IT 与现场设备交汇场景。安全设计应覆盖身份、网络、主机、应用、数据、接口、边缘终端、运维操作和供应链，不应仅以用户名密码或网络隔离替代完整的安全控制。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10F55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9196A8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控制域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69667C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建议措施</w:t>
            </w:r>
          </w:p>
        </w:tc>
      </w:tr>
      <w:tr w14:paraId="2CFF5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0037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身份与权限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D71A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账户实名、最小权限、分级角色、强密码与多因素认证（按项目）、临时授权到期回收、关键操作二次确认。</w:t>
            </w:r>
          </w:p>
        </w:tc>
      </w:tr>
      <w:tr w14:paraId="34486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948A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网络与边缘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4A9F4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分区分域、最小开放端口、设备白名单、加密传输、安全隧道、边缘网关加固、远程运维受控接入。</w:t>
            </w:r>
          </w:p>
        </w:tc>
      </w:tr>
      <w:tr w14:paraId="582DD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FC2C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应用与接口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A217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API 鉴权、调用审计、限流、输入校验、接口版本管理、第三方账号隔离、Webhook 签名或可信校验。</w:t>
            </w:r>
          </w:p>
        </w:tc>
      </w:tr>
      <w:tr w14:paraId="7B00B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23B5F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数据与隐私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42A8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数据分类分级、最小采集、传输与存储加密、脱敏、导出控制、视频/门禁个人信息访问留痕与保留期限管理。</w:t>
            </w:r>
          </w:p>
        </w:tc>
      </w:tr>
      <w:tr w14:paraId="0D44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3C1B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运维与审计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346A3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登录、配置、策略、远控、数据导出、升级、告警处置等行为审计；日志防篡改、集中留存与定期复核。</w:t>
            </w:r>
          </w:p>
        </w:tc>
      </w:tr>
      <w:tr w14:paraId="6D81E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7676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漏洞与升级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F84CC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资产清单、版本基线、漏洞评估、补丁窗口、回退预案、固件/软件来源校验和升级记录。</w:t>
            </w:r>
          </w:p>
        </w:tc>
      </w:tr>
    </w:tbl>
    <w:p w14:paraId="298A45E9">
      <w:pPr>
        <w:spacing w:after="60"/>
      </w:pPr>
    </w:p>
    <w:p w14:paraId="701C6E57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6.2 可靠性与连续性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38A74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2D2EA3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层级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FE7D1E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建议设计</w:t>
            </w:r>
          </w:p>
        </w:tc>
      </w:tr>
      <w:tr w14:paraId="7AC65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BDCA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现场采集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4372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工业级设备、看门狗、异常自恢复、离线缓存、链路状态监测、断点续传与本地告警策略。</w:t>
            </w:r>
          </w:p>
        </w:tc>
      </w:tr>
      <w:tr w14:paraId="57C4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357F8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网络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6567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主备链路或有线/蜂窝互备、关键链路监测、带宽与延时评估；无线网络需确认覆盖、资费和安全策略。</w:t>
            </w:r>
          </w:p>
        </w:tc>
      </w:tr>
      <w:tr w14:paraId="0D9C9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34A70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平台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47EB3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按业务等级选择单机、主备、高可用或容灾部署；明确数据库、对象存储、消息和应用组件的可用性设计。</w:t>
            </w:r>
          </w:p>
        </w:tc>
      </w:tr>
      <w:tr w14:paraId="55088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85D44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数据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40E4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定义采集频率、缓存容量、保留周期、备份频率、恢复演练、RPO/RTO 和数据一致性验证要求。</w:t>
            </w:r>
          </w:p>
        </w:tc>
      </w:tr>
      <w:tr w14:paraId="7C43D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5EA84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运行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AC594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建立健康检查、容量监测、告警测试、时间同步、备份恢复测试、版本回退和应急预案。</w:t>
            </w:r>
          </w:p>
        </w:tc>
      </w:tr>
    </w:tbl>
    <w:p w14:paraId="32DF211C">
      <w:pPr>
        <w:spacing w:after="60"/>
      </w:pPr>
    </w:p>
    <w:p w14:paraId="44E1FD91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6.3 等保与密码应用</w:t>
      </w:r>
    </w:p>
    <w:p w14:paraId="79EDE0BF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是否定级、定级对象、等级、测评范围、密码应用要求及整改责任，应由建设单位依据业务属性、主管部门要求和项目实际确定。方案可按 GB/T 22240-2020 开展定级准备，按 GB/T 22239-2019、GB/T 25070-2019 和 GB/T 28448-2019 进行安全设计与测评映射；涉及商用密码应用时，应按 GB/T 39786-2021 及项目要求实施。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9"/>
      </w:tblGrid>
      <w:tr w14:paraId="0838C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9" w:type="dxa"/>
            <w:tcBorders>
              <w:top w:val="single" w:color="175C92" w:sz="6" w:space="0"/>
              <w:left w:val="single" w:color="175C92" w:sz="6" w:space="0"/>
              <w:bottom w:val="single" w:color="175C92" w:sz="6" w:space="0"/>
              <w:right w:val="single" w:color="175C92" w:sz="6" w:space="0"/>
            </w:tcBorders>
            <w:shd w:val="clear" w:color="auto" w:fill="EAF3F8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09EBCC9C">
            <w:pPr>
              <w:spacing w:after="60"/>
            </w:pPr>
            <w:r>
              <w:rPr>
                <w:rFonts w:ascii="微软雅黑" w:hAnsi="微软雅黑" w:eastAsia="微软雅黑"/>
                <w:b/>
                <w:color w:val="0D3B66"/>
                <w:sz w:val="20"/>
              </w:rPr>
              <w:t xml:space="preserve">数据中心与现场安全  </w:t>
            </w:r>
            <w:r>
              <w:rPr>
                <w:rFonts w:ascii="微软雅黑" w:hAnsi="微软雅黑" w:eastAsia="微软雅黑"/>
                <w:color w:val="1F2937"/>
                <w:sz w:val="19"/>
              </w:rPr>
              <w:t>平台安全不等同于现场安全。机房物理安全、消防、电气保护、门禁、视频、施工接地和设备安装应分别满足相应工程规范与项目管理要求。</w:t>
            </w:r>
          </w:p>
        </w:tc>
      </w:tr>
    </w:tbl>
    <w:p w14:paraId="0BCDF56C">
      <w:pPr>
        <w:spacing w:after="40"/>
      </w:pPr>
    </w:p>
    <w:p w14:paraId="67475B80">
      <w:r>
        <w:br w:type="page"/>
      </w:r>
    </w:p>
    <w:p w14:paraId="03FDAD10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七、行业场景与标准产品包</w:t>
      </w:r>
    </w:p>
    <w:p w14:paraId="787DEE0D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7.1 小型机房 / 一体化机柜包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3F460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DC9520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组成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490B07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建议配置</w:t>
            </w:r>
          </w:p>
        </w:tc>
      </w:tr>
      <w:tr w14:paraId="4530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E2DD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基础监控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C043D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温湿度、漏水、市电、UPS、空调运行状态、烟感/消防接口、门磁、声光与多渠道告警。</w:t>
            </w:r>
          </w:p>
        </w:tc>
      </w:tr>
      <w:tr w14:paraId="71508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169C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运维能力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DA8F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本地 Web / 平台监控、历史曲线、告警记录、移动通知、巡检工单和断网缓存。</w:t>
            </w:r>
          </w:p>
        </w:tc>
      </w:tr>
      <w:tr w14:paraId="7E30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D24A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适用特点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25F3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实施周期短、点位明确，以设备接入、稳定运行和告警闭环为主。</w:t>
            </w:r>
          </w:p>
        </w:tc>
      </w:tr>
    </w:tbl>
    <w:p w14:paraId="56E9B990">
      <w:pPr>
        <w:spacing w:after="60"/>
      </w:pPr>
    </w:p>
    <w:p w14:paraId="6931F1E8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7.2 数据中心 / 高密机房增强包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58EC6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C57D56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1739F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建议能力</w:t>
            </w:r>
          </w:p>
        </w:tc>
      </w:tr>
      <w:tr w14:paraId="3499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68A2E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微环境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30D6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机柜进/出风、冷热通道、列头柜、智能 PDU、机柜级电量、温度热点与容量视图。</w:t>
            </w:r>
          </w:p>
        </w:tc>
      </w:tr>
      <w:tr w14:paraId="61827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005E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动力与制冷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64A24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UPS 单体电池、配电支路、精密空调、冷冻水、压差、冷凝水、制冷链路能耗与运行策略。</w:t>
            </w:r>
          </w:p>
        </w:tc>
      </w:tr>
      <w:tr w14:paraId="2A7FD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1B59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运营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F26E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PUE/能效、告警关联、设备健康度、维护计划、可视化拓扑或 3D 场景、报表与容量分析。</w:t>
            </w:r>
          </w:p>
        </w:tc>
      </w:tr>
    </w:tbl>
    <w:p w14:paraId="22FDE5CF">
      <w:pPr>
        <w:spacing w:after="60"/>
      </w:pPr>
    </w:p>
    <w:p w14:paraId="40A25A03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7.3 通信局站多站点智慧运维包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0DF58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B30E6E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F1B9D4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建议能力</w:t>
            </w:r>
          </w:p>
        </w:tc>
      </w:tr>
      <w:tr w14:paraId="3BC1E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3D869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集中监控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F0868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站点台账、通信电源、空调、环境、门禁与前端智能设备状态集中接入。</w:t>
            </w:r>
          </w:p>
        </w:tc>
      </w:tr>
      <w:tr w14:paraId="31B6E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6275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行业适配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89EF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按 YD/T 1363 系列、运营商规范和设备厂家协议确认系统与前端协议适配范围。</w:t>
            </w:r>
          </w:p>
        </w:tc>
      </w:tr>
      <w:tr w14:paraId="530FD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E3AB3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服务闭环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B2B8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告警分级、值班责任、派工巡检、远程诊断、服务报告与多站点运营统计。</w:t>
            </w:r>
          </w:p>
        </w:tc>
      </w:tr>
    </w:tbl>
    <w:p w14:paraId="2C7212FE">
      <w:pPr>
        <w:spacing w:after="60"/>
      </w:pPr>
    </w:p>
    <w:p w14:paraId="30CA64A0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7.4 配电与能效管理包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36762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EF7305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CF987B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建议能力</w:t>
            </w:r>
          </w:p>
        </w:tc>
      </w:tr>
      <w:tr w14:paraId="126B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0EBC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数据采集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AD81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电、水、气、冷、热、光储充等多类型能源数据及环境/设备状态接入。</w:t>
            </w:r>
          </w:p>
        </w:tc>
      </w:tr>
      <w:tr w14:paraId="3CEF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C523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分析与运维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2BD06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分类分项、负荷、峰平谷、功率因数、异常用能、能效报表、告警和工单闭环。</w:t>
            </w:r>
          </w:p>
        </w:tc>
      </w:tr>
      <w:tr w14:paraId="4A0C8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08DD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边界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DF97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定位在数据采集、能效分析和运维管理层，不作为实时调度、生产控制或安全保护系统。</w:t>
            </w:r>
          </w:p>
        </w:tc>
      </w:tr>
    </w:tbl>
    <w:p w14:paraId="7B0D5964">
      <w:pPr>
        <w:spacing w:after="60"/>
      </w:pPr>
    </w:p>
    <w:p w14:paraId="7F2B4612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7.5 通微标准产品能力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3100F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38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DF663C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产品包</w:t>
            </w:r>
          </w:p>
        </w:tc>
        <w:tc>
          <w:tcPr>
            <w:tcW w:w="6860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F2187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对应动环价值</w:t>
            </w:r>
          </w:p>
        </w:tc>
      </w:tr>
      <w:tr w14:paraId="7B200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11A2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设备厂家远程售后包</w:t>
            </w:r>
          </w:p>
        </w:tc>
        <w:tc>
          <w:tcPr>
            <w:tcW w:w="68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F6D6E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为 UPS、空调、配电柜、控制柜等设备增加联网、告警、远程诊断、服务台账和开放接口能力。</w:t>
            </w:r>
          </w:p>
        </w:tc>
      </w:tr>
      <w:tr w14:paraId="6537F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00E6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多站点智慧运维包</w:t>
            </w:r>
          </w:p>
        </w:tc>
        <w:tc>
          <w:tcPr>
            <w:tcW w:w="6860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931F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统一站点台账、集中监控、告警分级、工单巡检、运营报表和第三方接口，适用于运维商、园区和连锁站点。</w:t>
            </w:r>
          </w:p>
        </w:tc>
      </w:tr>
      <w:tr w14:paraId="50955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9D6E1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能效管理包</w:t>
            </w:r>
          </w:p>
        </w:tc>
        <w:tc>
          <w:tcPr>
            <w:tcW w:w="68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B0525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统一接入电、水、气、冷、热及光储充，开展分类分项、能效分析、异常识别、报表与运维闭环。</w:t>
            </w:r>
          </w:p>
        </w:tc>
      </w:tr>
    </w:tbl>
    <w:p w14:paraId="2D57C87E">
      <w:pPr>
        <w:spacing w:after="60"/>
      </w:pPr>
    </w:p>
    <w:p w14:paraId="27955216">
      <w:r>
        <w:br w:type="page"/>
      </w:r>
    </w:p>
    <w:p w14:paraId="13CD938D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八、实施、验收与持续运维</w:t>
      </w:r>
    </w:p>
    <w:p w14:paraId="0458C043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8.1 实施流程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0E5CC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587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408D69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阶段</w:t>
            </w:r>
          </w:p>
        </w:tc>
        <w:tc>
          <w:tcPr>
            <w:tcW w:w="4252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CE8FC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关键工作</w:t>
            </w:r>
          </w:p>
        </w:tc>
        <w:tc>
          <w:tcPr>
            <w:tcW w:w="3402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011F1C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交付物</w:t>
            </w:r>
          </w:p>
        </w:tc>
      </w:tr>
      <w:tr w14:paraId="4B968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42A5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勘察与需求确认</w:t>
            </w:r>
          </w:p>
        </w:tc>
        <w:tc>
          <w:tcPr>
            <w:tcW w:w="42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9A6B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确认机房/站点范围、对象、点位、协议、网络、供电、施工条件、责任人和安全边界。</w:t>
            </w:r>
          </w:p>
        </w:tc>
        <w:tc>
          <w:tcPr>
            <w:tcW w:w="340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37A42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需求确认表、点位表、设备台账、接口清单、现场风险清单。</w:t>
            </w:r>
          </w:p>
        </w:tc>
      </w:tr>
      <w:tr w14:paraId="776A4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08CCB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深化设计</w:t>
            </w:r>
          </w:p>
        </w:tc>
        <w:tc>
          <w:tcPr>
            <w:tcW w:w="425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4440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形成网络拓扑、安装位置、线缆路由、地址规划、告警策略、联动矩阵、权限与数据保留方案。</w:t>
            </w:r>
          </w:p>
        </w:tc>
        <w:tc>
          <w:tcPr>
            <w:tcW w:w="340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6626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深化设计、施工图/点位图、联动矩阵、测试计划。</w:t>
            </w:r>
          </w:p>
        </w:tc>
      </w:tr>
      <w:tr w14:paraId="680F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EB9F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安装与接入</w:t>
            </w:r>
          </w:p>
        </w:tc>
        <w:tc>
          <w:tcPr>
            <w:tcW w:w="42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7C97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设备安装、布线、标识、接地、协议接入、网关配置、平台建模和历史数据初始化。</w:t>
            </w:r>
          </w:p>
        </w:tc>
        <w:tc>
          <w:tcPr>
            <w:tcW w:w="340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38CB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安装记录、设备清单、地址表、接入测试记录。</w:t>
            </w:r>
          </w:p>
        </w:tc>
      </w:tr>
      <w:tr w14:paraId="46385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647A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联调与试运行</w:t>
            </w:r>
          </w:p>
        </w:tc>
        <w:tc>
          <w:tcPr>
            <w:tcW w:w="425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EDB1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单点调试、告警通知、视频/门禁/空调等联动、断电/断网恢复、数据曲线、权限与报表测试。</w:t>
            </w:r>
          </w:p>
        </w:tc>
        <w:tc>
          <w:tcPr>
            <w:tcW w:w="340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5ADE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联调报告、问题清单、试运行记录、优化记录。</w:t>
            </w:r>
          </w:p>
        </w:tc>
      </w:tr>
      <w:tr w14:paraId="163D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BA16F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验收与移交</w:t>
            </w:r>
          </w:p>
        </w:tc>
        <w:tc>
          <w:tcPr>
            <w:tcW w:w="42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E3EB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按合同和验收表逐项核验，培训管理员与运维人员，移交配置、账号、文档与备份策略。</w:t>
            </w:r>
          </w:p>
        </w:tc>
        <w:tc>
          <w:tcPr>
            <w:tcW w:w="340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9E16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验收报告、操作手册、培训记录、竣工资料、售后服务台账。</w:t>
            </w:r>
          </w:p>
        </w:tc>
      </w:tr>
    </w:tbl>
    <w:p w14:paraId="589EFA29">
      <w:pPr>
        <w:spacing w:after="60"/>
      </w:pPr>
    </w:p>
    <w:p w14:paraId="694C1828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8.2 验收测试建议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32F83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751426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1A0884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典型测试项</w:t>
            </w:r>
          </w:p>
        </w:tc>
      </w:tr>
      <w:tr w14:paraId="3C6B5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BCCA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采集准确性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2E29B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核对设备型号、地址、点位名称、单位、实时值与现场仪表/设备界面；验证采样周期和时间同步。</w:t>
            </w:r>
          </w:p>
        </w:tc>
      </w:tr>
      <w:tr w14:paraId="2FF60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1AE8B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告警与通知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ACB4F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越限、离线、故障、恢复、去重、延时、分级、责任人、升级、短信/电话/邮件/APP 等通知链路。</w:t>
            </w:r>
          </w:p>
        </w:tc>
      </w:tr>
      <w:tr w14:paraId="6E70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3AA8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联动与远控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ADD84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验证经批准的控制命令、授权、二次确认、互锁、回执、失败告警、操作审计和人工接管。</w:t>
            </w:r>
          </w:p>
        </w:tc>
      </w:tr>
      <w:tr w14:paraId="111FC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7EC65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可靠性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7B17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断网缓存、恢复续传、边缘自治、主备链路、平台重启、备份与恢复、告警不丢失验证。</w:t>
            </w:r>
          </w:p>
        </w:tc>
      </w:tr>
      <w:tr w14:paraId="7A18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CB3C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安全与权限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CB53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角色权限、密码策略、多因素认证（如适用）、日志审计、接口鉴权、数据导出、远程运维和升级控制。</w:t>
            </w:r>
          </w:p>
        </w:tc>
      </w:tr>
      <w:tr w14:paraId="2618A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5739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报表与运维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E21B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历史曲线、日报/月报、PUE/能耗（如适用）、工单闭环、巡检记录、资料导出与留存。</w:t>
            </w:r>
          </w:p>
        </w:tc>
      </w:tr>
    </w:tbl>
    <w:p w14:paraId="25F01037">
      <w:pPr>
        <w:spacing w:after="60"/>
      </w:pPr>
    </w:p>
    <w:p w14:paraId="5D97BE57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8.3 持续运维建议</w:t>
      </w:r>
    </w:p>
    <w:p w14:paraId="0DD07AE5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建立告警阈值和通知责任人的季度复核机制，结合季节、负载、设备改造和误报情况持续优化。</w:t>
      </w:r>
    </w:p>
    <w:p w14:paraId="71C5F616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建立设备、协议、网关、平台、操作系统和第三方接口版本台账，明确补丁与升级窗口。</w:t>
      </w:r>
    </w:p>
    <w:p w14:paraId="059DA228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至少定期进行数据备份恢复验证、断网恢复验证和关键通知链路测试；周期与项目安全等级匹配。</w:t>
      </w:r>
    </w:p>
    <w:p w14:paraId="19CDA2F8">
      <w:pPr>
        <w:pStyle w:val="16"/>
        <w:spacing w:after="60" w:line="307" w:lineRule="auto"/>
      </w:pPr>
      <w:r>
        <w:rPr>
          <w:rFonts w:ascii="微软雅黑" w:hAnsi="微软雅黑" w:eastAsia="微软雅黑"/>
          <w:color w:val="1F2937"/>
          <w:sz w:val="20"/>
        </w:rPr>
        <w:t>输出月度运行报告，包含重大事件、重复告警、设备健康、能效、工单时效、风险项和改进建议。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9"/>
      </w:tblGrid>
      <w:tr w14:paraId="2EEC8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9" w:type="dxa"/>
            <w:tcBorders>
              <w:top w:val="single" w:color="175C92" w:sz="6" w:space="0"/>
              <w:left w:val="single" w:color="175C92" w:sz="6" w:space="0"/>
              <w:bottom w:val="single" w:color="175C92" w:sz="6" w:space="0"/>
              <w:right w:val="single" w:color="175C92" w:sz="6" w:space="0"/>
            </w:tcBorders>
            <w:shd w:val="clear" w:color="auto" w:fill="EEF6E9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0948A228">
            <w:pPr>
              <w:spacing w:after="60"/>
            </w:pPr>
            <w:r>
              <w:rPr>
                <w:rFonts w:ascii="微软雅黑" w:hAnsi="微软雅黑" w:eastAsia="微软雅黑"/>
                <w:b/>
                <w:color w:val="0D3B66"/>
                <w:sz w:val="20"/>
              </w:rPr>
              <w:t xml:space="preserve">项目化承诺  </w:t>
            </w:r>
            <w:r>
              <w:rPr>
                <w:rFonts w:ascii="微软雅黑" w:hAnsi="微软雅黑" w:eastAsia="微软雅黑"/>
                <w:color w:val="1F2937"/>
                <w:sz w:val="19"/>
              </w:rPr>
              <w:t>服务期、响应时限、到场时限、备件、升级、云资源、通知费用、第三方设备接口和 SLA 应以合同为准，本通用方案不替代具体项目服务承诺。</w:t>
            </w:r>
          </w:p>
        </w:tc>
      </w:tr>
    </w:tbl>
    <w:p w14:paraId="0982B8D3">
      <w:pPr>
        <w:spacing w:after="40"/>
      </w:pPr>
    </w:p>
    <w:p w14:paraId="22BD326F">
      <w:r>
        <w:br w:type="page"/>
      </w:r>
    </w:p>
    <w:p w14:paraId="6F4FA5DC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九、产品体系与交付核验要求</w:t>
      </w:r>
    </w:p>
    <w:p w14:paraId="5651895C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9.1 通微产品体系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53D6A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4B57A9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产品层</w:t>
            </w:r>
          </w:p>
        </w:tc>
        <w:tc>
          <w:tcPr>
            <w:tcW w:w="306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2504E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产品/能力</w:t>
            </w:r>
          </w:p>
        </w:tc>
        <w:tc>
          <w:tcPr>
            <w:tcW w:w="4479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E91226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动环应用</w:t>
            </w:r>
          </w:p>
        </w:tc>
      </w:tr>
      <w:tr w14:paraId="36BB6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79D42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边缘接入</w:t>
            </w:r>
          </w:p>
        </w:tc>
        <w:tc>
          <w:tcPr>
            <w:tcW w:w="306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976E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SG / BEC 工业与边缘网关</w:t>
            </w:r>
          </w:p>
        </w:tc>
        <w:tc>
          <w:tcPr>
            <w:tcW w:w="447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F8244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多协议设备接入、现场缓存、本地规则、经授权的联动、断网续传与多中心上送。</w:t>
            </w:r>
          </w:p>
        </w:tc>
      </w:tr>
      <w:tr w14:paraId="1EBF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5867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采集与控制</w:t>
            </w:r>
          </w:p>
        </w:tc>
        <w:tc>
          <w:tcPr>
            <w:tcW w:w="306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18028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SDS / IOC 模块、仪表、传感器与控制组件</w:t>
            </w:r>
          </w:p>
        </w:tc>
        <w:tc>
          <w:tcPr>
            <w:tcW w:w="4479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01BB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环境、动力、安防、能耗和设备状态采集；DI/DO 与受控执行输出。</w:t>
            </w:r>
          </w:p>
        </w:tc>
      </w:tr>
      <w:tr w14:paraId="389C5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9864F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AIoT 平台与数据服务</w:t>
            </w:r>
          </w:p>
        </w:tc>
        <w:tc>
          <w:tcPr>
            <w:tcW w:w="306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978A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设备台账、数据治理、能效分析、告警诊断、工单巡检、报表与 API</w:t>
            </w:r>
          </w:p>
        </w:tc>
        <w:tc>
          <w:tcPr>
            <w:tcW w:w="447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84038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多站点集中管理、运维闭环、能效数据服务和第三方系统协同。</w:t>
            </w:r>
          </w:p>
        </w:tc>
      </w:tr>
      <w:tr w14:paraId="2152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A939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移动与通知</w:t>
            </w:r>
          </w:p>
        </w:tc>
        <w:tc>
          <w:tcPr>
            <w:tcW w:w="306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24901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APP / 小程序、短信、电话、微信、邮件与大屏协同</w:t>
            </w:r>
          </w:p>
        </w:tc>
        <w:tc>
          <w:tcPr>
            <w:tcW w:w="4479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1C05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告警到人、移动处置、巡检反馈和管理可视化。</w:t>
            </w:r>
          </w:p>
        </w:tc>
      </w:tr>
      <w:tr w14:paraId="00881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D80B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部署与开放</w:t>
            </w:r>
          </w:p>
        </w:tc>
        <w:tc>
          <w:tcPr>
            <w:tcW w:w="306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AE0F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SaaS、私有化、OEM 品牌化和第三方 API 对接</w:t>
            </w:r>
          </w:p>
        </w:tc>
        <w:tc>
          <w:tcPr>
            <w:tcW w:w="447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53D5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适配标准化复制、政企内网、合作伙伴品牌化与系统集成项目。</w:t>
            </w:r>
          </w:p>
        </w:tc>
      </w:tr>
    </w:tbl>
    <w:p w14:paraId="7E33071B">
      <w:pPr>
        <w:spacing w:after="60"/>
      </w:pPr>
    </w:p>
    <w:p w14:paraId="5161A891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9.2 产品与能力核验机制</w:t>
      </w:r>
    </w:p>
    <w:p w14:paraId="6017BD67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V2.0 不沿用 V1.6 中可能已发生变化的硬件型号、操作系统版本、接口数量、存储条目、AI 算力和第三方兼容清单。每个项目应以当前在售产品说明书、报价清单、固件版本、接口测试记录和深化设计为准，形成下表所列的核验资料。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4EEF6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CCABE3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核验项</w:t>
            </w:r>
          </w:p>
        </w:tc>
        <w:tc>
          <w:tcPr>
            <w:tcW w:w="4082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2E1168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必须确认内容</w:t>
            </w:r>
          </w:p>
        </w:tc>
        <w:tc>
          <w:tcPr>
            <w:tcW w:w="3458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46B620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责任输出</w:t>
            </w:r>
          </w:p>
        </w:tc>
      </w:tr>
      <w:tr w14:paraId="29B1C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422A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硬件型号</w:t>
            </w:r>
          </w:p>
        </w:tc>
        <w:tc>
          <w:tcPr>
            <w:tcW w:w="408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83B1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网关、采集模块、传感器、仪表、控制器、门禁/视频对接设备的在售型号与版本。</w:t>
            </w:r>
          </w:p>
        </w:tc>
        <w:tc>
          <w:tcPr>
            <w:tcW w:w="345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3B805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产品选型表、报价清单、产品说明书。</w:t>
            </w:r>
          </w:p>
        </w:tc>
      </w:tr>
      <w:tr w14:paraId="0B3BA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3378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协议与第三方</w:t>
            </w:r>
          </w:p>
        </w:tc>
        <w:tc>
          <w:tcPr>
            <w:tcW w:w="408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D772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设备厂家、型号、固件、通信口、协议版本、点位表、许可与测试条件。</w:t>
            </w:r>
          </w:p>
        </w:tc>
        <w:tc>
          <w:tcPr>
            <w:tcW w:w="3458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229C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接口确认单、协议测试记录、联调报告。</w:t>
            </w:r>
          </w:p>
        </w:tc>
      </w:tr>
      <w:tr w14:paraId="486E6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66E7B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平台能力</w:t>
            </w:r>
          </w:p>
        </w:tc>
        <w:tc>
          <w:tcPr>
            <w:tcW w:w="408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8881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部署模式、并发/容量、数据保留、报表、工单、通知、API、权限、审计与备份。</w:t>
            </w:r>
          </w:p>
        </w:tc>
        <w:tc>
          <w:tcPr>
            <w:tcW w:w="345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BA4C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平台配置清单、部署说明、验收用例。</w:t>
            </w:r>
          </w:p>
        </w:tc>
      </w:tr>
      <w:tr w14:paraId="23DC7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30A5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远程控制</w:t>
            </w:r>
          </w:p>
        </w:tc>
        <w:tc>
          <w:tcPr>
            <w:tcW w:w="408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E11A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可控对象、命令、时段、确认机制、回执、互锁、操作人和审批要求。</w:t>
            </w:r>
          </w:p>
        </w:tc>
        <w:tc>
          <w:tcPr>
            <w:tcW w:w="3458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90E1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控制/联动矩阵、风险评审与测试记录。</w:t>
            </w:r>
          </w:p>
        </w:tc>
      </w:tr>
      <w:tr w14:paraId="1E00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5B021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安全与合规</w:t>
            </w:r>
          </w:p>
        </w:tc>
        <w:tc>
          <w:tcPr>
            <w:tcW w:w="408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85C0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等保、密码应用、数据分级、个人信息、视频/门禁、日志、漏洞和灾备要求。</w:t>
            </w:r>
          </w:p>
        </w:tc>
        <w:tc>
          <w:tcPr>
            <w:tcW w:w="345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E92B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安全需求表、整改清单、责任边界表。</w:t>
            </w:r>
          </w:p>
        </w:tc>
      </w:tr>
    </w:tbl>
    <w:p w14:paraId="18A9E00B">
      <w:pPr>
        <w:spacing w:after="60"/>
      </w:pP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9"/>
      </w:tblGrid>
      <w:tr w14:paraId="510CD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9" w:type="dxa"/>
            <w:tcBorders>
              <w:top w:val="single" w:color="175C92" w:sz="6" w:space="0"/>
              <w:left w:val="single" w:color="175C92" w:sz="6" w:space="0"/>
              <w:bottom w:val="single" w:color="175C92" w:sz="6" w:space="0"/>
              <w:right w:val="single" w:color="175C92" w:sz="6" w:space="0"/>
            </w:tcBorders>
            <w:shd w:val="clear" w:color="auto" w:fill="EAF3F8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3AD1F88">
            <w:pPr>
              <w:spacing w:after="60"/>
            </w:pPr>
            <w:r>
              <w:rPr>
                <w:rFonts w:ascii="微软雅黑" w:hAnsi="微软雅黑" w:eastAsia="微软雅黑"/>
                <w:b/>
                <w:color w:val="0D3B66"/>
                <w:sz w:val="20"/>
              </w:rPr>
              <w:t xml:space="preserve">能力承诺口径  </w:t>
            </w:r>
            <w:r>
              <w:rPr>
                <w:rFonts w:ascii="微软雅黑" w:hAnsi="微软雅黑" w:eastAsia="微软雅黑"/>
                <w:color w:val="1F2937"/>
                <w:sz w:val="19"/>
              </w:rPr>
              <w:t>对外资料应使用“支持按项目适配”“经协议与现场条件确认后接入”“按产品型号及许可配置”的表述。未经实测和书面确认，不将第三方设备兼容、自动控制、AI 预测或安全合规写成无条件承诺。</w:t>
            </w:r>
          </w:p>
        </w:tc>
      </w:tr>
    </w:tbl>
    <w:p w14:paraId="493B47BD">
      <w:pPr>
        <w:spacing w:after="40"/>
      </w:pPr>
    </w:p>
    <w:p w14:paraId="437F565E">
      <w:r>
        <w:br w:type="page"/>
      </w:r>
    </w:p>
    <w:p w14:paraId="66F9C1D2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十、公司简介</w:t>
      </w:r>
    </w:p>
    <w:p w14:paraId="1590F4A3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10.1 公司定位</w:t>
      </w:r>
    </w:p>
    <w:p w14:paraId="52EA8B8C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广州通微智慧科技有限公司定位为工业级 AIoT 智慧运维产品与数据服务商。公司以工业网关、AIoT 平台和标准产品包为基础，帮助设备厂家、运维服务商与用能单位将分散设备、用能系统和现场服务纳入统一运营闭环。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72DE2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B1234E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核心能力</w:t>
            </w:r>
          </w:p>
        </w:tc>
        <w:tc>
          <w:tcPr>
            <w:tcW w:w="754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5AF510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说明</w:t>
            </w:r>
          </w:p>
        </w:tc>
      </w:tr>
      <w:tr w14:paraId="2AF2B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7575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端边云一体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D760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现场对象经由工业网关、采集与控制组件接入平台，形成设备与数据治理、告警诊断、工单巡检、报表与协同触达能力。</w:t>
            </w:r>
          </w:p>
        </w:tc>
      </w:tr>
      <w:tr w14:paraId="7912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C708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智慧运维闭环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7D14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连接、监测、告警、诊断、处置和复盘六个环节形成闭环，实现异常有规则、责任有归属、处置有记录、结果有报表、经验可复用。</w:t>
            </w:r>
          </w:p>
        </w:tc>
      </w:tr>
      <w:tr w14:paraId="1F4E6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BB54B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能效管理</w:t>
            </w:r>
          </w:p>
        </w:tc>
        <w:tc>
          <w:tcPr>
            <w:tcW w:w="754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881B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面向电、水、气、冷、热及光储充等能源数据，提供分类分项、能效分析、异常识别和运维闭环能力。</w:t>
            </w:r>
          </w:p>
        </w:tc>
      </w:tr>
      <w:tr w14:paraId="3048B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3A8E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部署与开放</w:t>
            </w:r>
          </w:p>
        </w:tc>
        <w:tc>
          <w:tcPr>
            <w:tcW w:w="754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3738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8"/>
              </w:rPr>
              <w:t>支持 SaaS、本地/私有化、OEM 品牌化和第三方 API 对接；协议、数据归属、远控和服务边界按项目确认。</w:t>
            </w:r>
          </w:p>
        </w:tc>
      </w:tr>
    </w:tbl>
    <w:p w14:paraId="3531370A">
      <w:pPr>
        <w:spacing w:after="60"/>
      </w:pPr>
    </w:p>
    <w:p w14:paraId="5E161C3F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10.2 核心客户与产品边界</w:t>
      </w:r>
    </w:p>
    <w:p w14:paraId="6173630F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通微智慧面向工业设备与控制柜厂家、运维服务商、弱电及信息系统集成商、园区和用能单位提供软硬件产品配套、系统方案及方案配套服务。产品不替代客户核心控制器和现场安全系统；协议、接口、远控权限、数据责任与交付范围按项目书面确认。</w:t>
      </w:r>
    </w:p>
    <w:p w14:paraId="0A6ACCF9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10.3 2026 公司业务介绍</w:t>
      </w:r>
    </w:p>
    <w:p w14:paraId="3E4EE7F7">
      <w:pPr>
        <w:spacing w:after="40"/>
        <w:jc w:val="center"/>
      </w:pPr>
      <w:r>
        <w:drawing>
          <wp:inline distT="0" distB="0" distL="114300" distR="114300">
            <wp:extent cx="5897880" cy="331724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27593">
      <w:pPr>
        <w:jc w:val="center"/>
      </w:pPr>
      <w:r>
        <w:rPr>
          <w:rFonts w:ascii="微软雅黑" w:hAnsi="微软雅黑" w:eastAsia="微软雅黑"/>
          <w:color w:val="64748B"/>
          <w:sz w:val="16"/>
        </w:rPr>
        <w:t>资料来源：通微智慧公司业务介绍 2026 版</w:t>
      </w:r>
    </w:p>
    <w:p w14:paraId="7DBB08AA">
      <w:r>
        <w:br w:type="page"/>
      </w:r>
    </w:p>
    <w:p w14:paraId="05CEBFCA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附录 A 标准、政策与法规适用清单</w:t>
      </w:r>
    </w:p>
    <w:p w14:paraId="731029D5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本清单用于方案设计、招投标引用和项目深化时的适用性判断，并非对所有项目的强制性承诺。标准状态以全国标准信息公共服务平台、住房和城乡建设部公开信息及通信行业公开标准信息于 2026 年 8 月 29 日的核验结果为基础；工程建设强制性规范、地方规范、行业主管部门和建设单位要求优先。</w:t>
      </w:r>
    </w:p>
    <w:p w14:paraId="10951D33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A.1 数据中心、机房与能效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6EFB0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324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B32BCD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标准/文件</w:t>
            </w:r>
          </w:p>
        </w:tc>
        <w:tc>
          <w:tcPr>
            <w:tcW w:w="323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FF702C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适用内容</w:t>
            </w:r>
          </w:p>
        </w:tc>
        <w:tc>
          <w:tcPr>
            <w:tcW w:w="3685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667250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V2.0 使用方式与状态</w:t>
            </w:r>
          </w:p>
        </w:tc>
      </w:tr>
      <w:tr w14:paraId="03624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2537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 50174-2017《数据中心设计规范》</w:t>
            </w:r>
          </w:p>
        </w:tc>
        <w:tc>
          <w:tcPr>
            <w:tcW w:w="323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F79EC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数据中心建设、环境、供配电、空调等设计要求。</w:t>
            </w:r>
          </w:p>
        </w:tc>
        <w:tc>
          <w:tcPr>
            <w:tcW w:w="3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48E9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数据中心项目的重要设计依据；与后续工程建设强制性通用规范有冲突时，以强制性规范为准。</w:t>
            </w:r>
          </w:p>
        </w:tc>
      </w:tr>
      <w:tr w14:paraId="2AFF3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91C4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GB/T 51409-2020《数据中心综合监控系统工程技术标准》</w:t>
            </w:r>
          </w:p>
        </w:tc>
        <w:tc>
          <w:tcPr>
            <w:tcW w:w="323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7917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数据中心综合监控系统的设计、施工与验收。</w:t>
            </w:r>
          </w:p>
        </w:tc>
        <w:tc>
          <w:tcPr>
            <w:tcW w:w="368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BA09B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动环监控工程的核心技术依据；适用于陆地建筑内新建、改建和扩建的数据中心综合监控工程。</w:t>
            </w:r>
          </w:p>
        </w:tc>
      </w:tr>
      <w:tr w14:paraId="7EA3A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21FC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GB/T 51314-2018《数据中心基础设施运行维护标准》</w:t>
            </w:r>
          </w:p>
        </w:tc>
        <w:tc>
          <w:tcPr>
            <w:tcW w:w="323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DBBD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基础设施运行维护、值守、维护和管理。</w:t>
            </w:r>
          </w:p>
        </w:tc>
        <w:tc>
          <w:tcPr>
            <w:tcW w:w="3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4C48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用于运维流程、巡检、记录、演练、服务与持续改进设计。</w:t>
            </w:r>
          </w:p>
        </w:tc>
      </w:tr>
      <w:tr w14:paraId="4C58F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A560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GB/T 2887-2011《计算机场地通用规范》</w:t>
            </w:r>
          </w:p>
        </w:tc>
        <w:tc>
          <w:tcPr>
            <w:tcW w:w="323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87E0E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计算机场地通用环境与安全要求。</w:t>
            </w:r>
          </w:p>
        </w:tc>
        <w:tc>
          <w:tcPr>
            <w:tcW w:w="368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1739C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现行推荐性标准；适用于通用机房场地要求的项目参考。</w:t>
            </w:r>
          </w:p>
        </w:tc>
      </w:tr>
      <w:tr w14:paraId="038FD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8967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GB/T 32910.3-2016《数据中心 资源利用 第3部分：电能能效要求和测量方法》</w:t>
            </w:r>
          </w:p>
        </w:tc>
        <w:tc>
          <w:tcPr>
            <w:tcW w:w="323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6342D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数据中心电能能效和测量方法。</w:t>
            </w:r>
          </w:p>
        </w:tc>
        <w:tc>
          <w:tcPr>
            <w:tcW w:w="3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D5793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现行标准，2021 年复审结论为“修订”；在新版发布前可用于 PUE 数据口径与测量设计参考。</w:t>
            </w:r>
          </w:p>
        </w:tc>
      </w:tr>
      <w:tr w14:paraId="54567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2697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GB/T 44989-2024《绿色数据中心评价》</w:t>
            </w:r>
          </w:p>
        </w:tc>
        <w:tc>
          <w:tcPr>
            <w:tcW w:w="323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76036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绿色数据中心评价。</w:t>
            </w:r>
          </w:p>
        </w:tc>
        <w:tc>
          <w:tcPr>
            <w:tcW w:w="368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AD22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现行，2025-06-01 实施；用于绿色评价、能效与可持续运营相关项目的指标设计参考。</w:t>
            </w:r>
          </w:p>
        </w:tc>
      </w:tr>
      <w:tr w14:paraId="40852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09E4F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《算力基础设施高质量发展行动计划》</w:t>
            </w:r>
          </w:p>
        </w:tc>
        <w:tc>
          <w:tcPr>
            <w:tcW w:w="323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FDEAC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算力基础设施绿色低碳、智能化与高质量发展。</w:t>
            </w:r>
          </w:p>
        </w:tc>
        <w:tc>
          <w:tcPr>
            <w:tcW w:w="3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9ED1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用于说明数据中心绿色低碳、可靠运维与智能化建设的政策背景，不替代工程标准。</w:t>
            </w:r>
          </w:p>
        </w:tc>
      </w:tr>
    </w:tbl>
    <w:p w14:paraId="05E49047">
      <w:pPr>
        <w:spacing w:after="60"/>
      </w:pPr>
    </w:p>
    <w:p w14:paraId="172961D6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A.2 通信局站与视频联网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2E419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38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636C42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标准/文件</w:t>
            </w:r>
          </w:p>
        </w:tc>
        <w:tc>
          <w:tcPr>
            <w:tcW w:w="323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4B5E29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适用内容</w:t>
            </w:r>
          </w:p>
        </w:tc>
        <w:tc>
          <w:tcPr>
            <w:tcW w:w="3628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FEA80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替代/使用说明</w:t>
            </w:r>
          </w:p>
        </w:tc>
      </w:tr>
      <w:tr w14:paraId="5831E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2213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YD/T 1363.1-2023《通信局(站)电源、空调及环境集中监控管理系统 第1部分：系统技术要求》</w:t>
            </w:r>
          </w:p>
        </w:tc>
        <w:tc>
          <w:tcPr>
            <w:tcW w:w="323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05DF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通信局(站)电源、空调及环境集中监控管理系统。</w:t>
            </w:r>
          </w:p>
        </w:tc>
        <w:tc>
          <w:tcPr>
            <w:tcW w:w="36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693D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替代 YD/T 1363.1-2014；通信场景优先采用 2023 版，并结合运营商规范。</w:t>
            </w:r>
          </w:p>
        </w:tc>
      </w:tr>
      <w:tr w14:paraId="414A4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71121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YD/T 1363.3-2023《通信局(站)电源、空调及环境集中监控管理系统 第3部分：前端智能设备协议》</w:t>
            </w:r>
          </w:p>
        </w:tc>
        <w:tc>
          <w:tcPr>
            <w:tcW w:w="323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ECCF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通信局(站)前端智能设备协议。</w:t>
            </w:r>
          </w:p>
        </w:tc>
        <w:tc>
          <w:tcPr>
            <w:tcW w:w="3628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68451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通信项目的前端协议适配依据；设备模型和互联测试应按项目与设备厂家确认。</w:t>
            </w:r>
          </w:p>
        </w:tc>
      </w:tr>
      <w:tr w14:paraId="76D84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8A6F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GB/T 28181-2022《公共安全视频监控联网系统信息传输、交换、控制技术要求》</w:t>
            </w:r>
          </w:p>
        </w:tc>
        <w:tc>
          <w:tcPr>
            <w:tcW w:w="323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5E5C6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视频监控联网、信息传输、交换和控制。</w:t>
            </w:r>
          </w:p>
        </w:tc>
        <w:tc>
          <w:tcPr>
            <w:tcW w:w="36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95C2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现行，替代 GB/T 28181-2016；视频联网项目优先引用 2022 版。</w:t>
            </w:r>
          </w:p>
        </w:tc>
      </w:tr>
    </w:tbl>
    <w:p w14:paraId="1B511017">
      <w:pPr>
        <w:spacing w:after="60"/>
      </w:pPr>
    </w:p>
    <w:p w14:paraId="47F854B9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A.3 工程、消防与安防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2B0FC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324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F5A22B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标准/文件</w:t>
            </w:r>
          </w:p>
        </w:tc>
        <w:tc>
          <w:tcPr>
            <w:tcW w:w="3175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856106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适用内容</w:t>
            </w:r>
          </w:p>
        </w:tc>
        <w:tc>
          <w:tcPr>
            <w:tcW w:w="3742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2F50FE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使用说明</w:t>
            </w:r>
          </w:p>
        </w:tc>
      </w:tr>
      <w:tr w14:paraId="2E116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9F8D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 55024-2022《建筑电气与智能化通用规范》</w:t>
            </w:r>
          </w:p>
        </w:tc>
        <w:tc>
          <w:tcPr>
            <w:tcW w:w="317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A230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建筑电气与智能化工程强制性要求。</w:t>
            </w:r>
          </w:p>
        </w:tc>
        <w:tc>
          <w:tcPr>
            <w:tcW w:w="37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6B4F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强制性工程建设规范；涉及安装、供电、接地、智能化系统时应遵照执行。</w:t>
            </w:r>
          </w:p>
        </w:tc>
      </w:tr>
      <w:tr w14:paraId="496A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7237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 55029-2022《安全防范工程通用规范》</w:t>
            </w:r>
          </w:p>
        </w:tc>
        <w:tc>
          <w:tcPr>
            <w:tcW w:w="317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A152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安全防范工程强制性要求。</w:t>
            </w:r>
          </w:p>
        </w:tc>
        <w:tc>
          <w:tcPr>
            <w:tcW w:w="374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F92D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门禁、视频、入侵等安防子系统按适用范围执行。</w:t>
            </w:r>
          </w:p>
        </w:tc>
      </w:tr>
      <w:tr w14:paraId="12D70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9801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 55036-2022《消防设施通用规范》</w:t>
            </w:r>
          </w:p>
        </w:tc>
        <w:tc>
          <w:tcPr>
            <w:tcW w:w="317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4874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消防设施强制性要求。</w:t>
            </w:r>
          </w:p>
        </w:tc>
        <w:tc>
          <w:tcPr>
            <w:tcW w:w="37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F499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消防接口、联动边界与施工必须服从消防专业系统和该规范。</w:t>
            </w:r>
          </w:p>
        </w:tc>
      </w:tr>
      <w:tr w14:paraId="3453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B2305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 55037-2022《建筑防火通用规范》</w:t>
            </w:r>
          </w:p>
        </w:tc>
        <w:tc>
          <w:tcPr>
            <w:tcW w:w="317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D033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建筑防火强制性要求。</w:t>
            </w:r>
          </w:p>
        </w:tc>
        <w:tc>
          <w:tcPr>
            <w:tcW w:w="3742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A194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与既有工程建设标准不一致的强制性要求，以本规范为准。</w:t>
            </w:r>
          </w:p>
        </w:tc>
      </w:tr>
      <w:tr w14:paraId="71FFD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6078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GB 50116-2013《火灾自动报警系统设计规范》</w:t>
            </w:r>
          </w:p>
        </w:tc>
        <w:tc>
          <w:tcPr>
            <w:tcW w:w="317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B0104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火灾自动报警系统设计。</w:t>
            </w:r>
          </w:p>
        </w:tc>
        <w:tc>
          <w:tcPr>
            <w:tcW w:w="374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4FF47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6"/>
              </w:rPr>
              <w:t>消防项目按现行适用条款并结合 GB 55036、GB 55037 执行；动环平台不替代消防控制系统。</w:t>
            </w:r>
          </w:p>
        </w:tc>
      </w:tr>
    </w:tbl>
    <w:p w14:paraId="5EE20D30">
      <w:pPr>
        <w:spacing w:after="60"/>
      </w:pPr>
    </w:p>
    <w:p w14:paraId="67621849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A.4 网络、数据、边缘与云安全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7166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38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65A135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标准/文件</w:t>
            </w:r>
          </w:p>
        </w:tc>
        <w:tc>
          <w:tcPr>
            <w:tcW w:w="3005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B006C0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适用内容</w:t>
            </w:r>
          </w:p>
        </w:tc>
        <w:tc>
          <w:tcPr>
            <w:tcW w:w="3855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5C377B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替代/使用说明</w:t>
            </w:r>
          </w:p>
        </w:tc>
      </w:tr>
      <w:tr w14:paraId="7F083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BA5E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22240-2020《网络安全等级保护定级指南》</w:t>
            </w:r>
          </w:p>
        </w:tc>
        <w:tc>
          <w:tcPr>
            <w:tcW w:w="300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A459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等级保护定级。</w:t>
            </w:r>
          </w:p>
        </w:tc>
        <w:tc>
          <w:tcPr>
            <w:tcW w:w="385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FE79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现行，替代 GB/T 22240-2008；用于项目定级准备和边界梳理。</w:t>
            </w:r>
          </w:p>
        </w:tc>
      </w:tr>
      <w:tr w14:paraId="48598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886C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22239-2019《网络安全等级保护基本要求》</w:t>
            </w:r>
          </w:p>
        </w:tc>
        <w:tc>
          <w:tcPr>
            <w:tcW w:w="300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67493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等级保护基本安全要求。</w:t>
            </w:r>
          </w:p>
        </w:tc>
        <w:tc>
          <w:tcPr>
            <w:tcW w:w="385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FB9A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现行，2025 年复审继续有效，替代 GB/T 22239-2008。</w:t>
            </w:r>
          </w:p>
        </w:tc>
      </w:tr>
      <w:tr w14:paraId="09528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CF718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25070-2019《网络安全等级保护安全设计技术要求》</w:t>
            </w:r>
          </w:p>
        </w:tc>
        <w:tc>
          <w:tcPr>
            <w:tcW w:w="300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D7591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等级保护安全设计。</w:t>
            </w:r>
          </w:p>
        </w:tc>
        <w:tc>
          <w:tcPr>
            <w:tcW w:w="385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4E211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现行，2025 年复审继续有效，替代 GB/T 25070-2010。</w:t>
            </w:r>
          </w:p>
        </w:tc>
      </w:tr>
      <w:tr w14:paraId="405A1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0B571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28448-2019《网络安全等级保护测评要求》</w:t>
            </w:r>
          </w:p>
        </w:tc>
        <w:tc>
          <w:tcPr>
            <w:tcW w:w="300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B7B5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等级保护测评。</w:t>
            </w:r>
          </w:p>
        </w:tc>
        <w:tc>
          <w:tcPr>
            <w:tcW w:w="385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927D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现行，2025 年复审继续有效，替代 GB/T 28448-2012。</w:t>
            </w:r>
          </w:p>
        </w:tc>
      </w:tr>
      <w:tr w14:paraId="69D3F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44D6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42564-2023《信息安全技术 边缘计算安全技术要求》</w:t>
            </w:r>
          </w:p>
        </w:tc>
        <w:tc>
          <w:tcPr>
            <w:tcW w:w="300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BA0C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边缘计算安全。</w:t>
            </w:r>
          </w:p>
        </w:tc>
        <w:tc>
          <w:tcPr>
            <w:tcW w:w="385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BCCA3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适用于边缘网关、边缘应用、边缘数据与运维安全设计。</w:t>
            </w:r>
          </w:p>
        </w:tc>
      </w:tr>
      <w:tr w14:paraId="079E4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7D7D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31168-2023《信息安全技术 云计算服务安全能力要求》</w:t>
            </w:r>
          </w:p>
        </w:tc>
        <w:tc>
          <w:tcPr>
            <w:tcW w:w="300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C617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云计算服务安全。</w:t>
            </w:r>
          </w:p>
        </w:tc>
        <w:tc>
          <w:tcPr>
            <w:tcW w:w="385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8A15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现行，替代 GB/T 31168-2014；适用于 SaaS、云部署及云资源安全责任设计。</w:t>
            </w:r>
          </w:p>
        </w:tc>
      </w:tr>
      <w:tr w14:paraId="5CAC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6A1E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43697-2024《数据安全技术 数据分类分级规则》</w:t>
            </w:r>
          </w:p>
        </w:tc>
        <w:tc>
          <w:tcPr>
            <w:tcW w:w="300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28A22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数据分类分级。</w:t>
            </w:r>
          </w:p>
        </w:tc>
        <w:tc>
          <w:tcPr>
            <w:tcW w:w="385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BE242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现行；适用于监控数据、告警、视频/门禁信息和接口数据的分类分级管理。</w:t>
            </w:r>
          </w:p>
        </w:tc>
      </w:tr>
      <w:tr w14:paraId="6BF54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C2E2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20984-2022《信息安全技术 信息安全风险评估方法》</w:t>
            </w:r>
          </w:p>
        </w:tc>
        <w:tc>
          <w:tcPr>
            <w:tcW w:w="300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E1F1D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信息安全风险评估。</w:t>
            </w:r>
          </w:p>
        </w:tc>
        <w:tc>
          <w:tcPr>
            <w:tcW w:w="385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E4F2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现行；用于上线前风险识别、第三方接口和远控功能的风险评估。</w:t>
            </w:r>
          </w:p>
        </w:tc>
      </w:tr>
      <w:tr w14:paraId="6C63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6B85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20988-2025《网络安全技术 信息系统灾难恢复规范》</w:t>
            </w:r>
          </w:p>
        </w:tc>
        <w:tc>
          <w:tcPr>
            <w:tcW w:w="300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C8DB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灾难恢复。</w:t>
            </w:r>
          </w:p>
        </w:tc>
        <w:tc>
          <w:tcPr>
            <w:tcW w:w="385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EC46C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现行，2026-01-01 实施，替代 GB/T 20988-2007；用于 RPO/RTO、备份恢复和演练设计。</w:t>
            </w:r>
          </w:p>
        </w:tc>
      </w:tr>
      <w:tr w14:paraId="126A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10D2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39786-2021《信息安全技术 信息系统密码应用基本要求》</w:t>
            </w:r>
          </w:p>
        </w:tc>
        <w:tc>
          <w:tcPr>
            <w:tcW w:w="300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3C51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密码应用。</w:t>
            </w:r>
          </w:p>
        </w:tc>
        <w:tc>
          <w:tcPr>
            <w:tcW w:w="385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C343E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涉及密码应用或商用密码合规项目时按项目要求适用。</w:t>
            </w:r>
          </w:p>
        </w:tc>
      </w:tr>
      <w:tr w14:paraId="367BB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5FD5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37044-2018、GB/T 37024-2018、GB/T 37025-2018</w:t>
            </w:r>
          </w:p>
        </w:tc>
        <w:tc>
          <w:tcPr>
            <w:tcW w:w="300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7C5F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物联网安全参考模型、感知层网关安全与数据传输安全。</w:t>
            </w:r>
          </w:p>
        </w:tc>
        <w:tc>
          <w:tcPr>
            <w:tcW w:w="385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97B13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现行；适用于传感器、网关、数据传输等 IoT 安全设计参考。</w:t>
            </w:r>
          </w:p>
        </w:tc>
      </w:tr>
      <w:tr w14:paraId="4B3EA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F2F8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GB/T 40813-2021 / GB/T 42456-2023 / GB/T 42457-2023</w:t>
            </w:r>
          </w:p>
        </w:tc>
        <w:tc>
          <w:tcPr>
            <w:tcW w:w="300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EC0D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工业控制系统安全防护、组件安全与安全开发生命周期。</w:t>
            </w:r>
          </w:p>
        </w:tc>
        <w:tc>
          <w:tcPr>
            <w:tcW w:w="3855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FB4C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5"/>
              </w:rPr>
              <w:t>涉及工业控制系统、控制器与安全开发要求时按项目适用。</w:t>
            </w:r>
          </w:p>
        </w:tc>
      </w:tr>
    </w:tbl>
    <w:p w14:paraId="1BD6AAD1">
      <w:pPr>
        <w:spacing w:after="60"/>
      </w:pPr>
    </w:p>
    <w:p w14:paraId="225FC6AF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A.5 法规与合规要求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29831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55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8E64ED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法规/要求</w:t>
            </w:r>
          </w:p>
        </w:tc>
        <w:tc>
          <w:tcPr>
            <w:tcW w:w="6690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53B1B1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方案关联点</w:t>
            </w:r>
          </w:p>
        </w:tc>
      </w:tr>
      <w:tr w14:paraId="6225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8488F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《中华人民共和国网络安全法》</w:t>
            </w:r>
          </w:p>
        </w:tc>
        <w:tc>
          <w:tcPr>
            <w:tcW w:w="669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05C25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网络运行安全、关键信息基础设施及网络安全义务的上位法规要求。</w:t>
            </w:r>
          </w:p>
        </w:tc>
      </w:tr>
      <w:tr w14:paraId="72D0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4AD8B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《中华人民共和国数据安全法》</w:t>
            </w:r>
          </w:p>
        </w:tc>
        <w:tc>
          <w:tcPr>
            <w:tcW w:w="6690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F2DD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数据处理、数据安全管理与风险处置；项目需明确数据归属、出境/共享与生命周期管理。</w:t>
            </w:r>
          </w:p>
        </w:tc>
      </w:tr>
      <w:tr w14:paraId="5107E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9B98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《中华人民共和国个人信息保护法》</w:t>
            </w:r>
          </w:p>
        </w:tc>
        <w:tc>
          <w:tcPr>
            <w:tcW w:w="669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01B6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视频、门禁、人员、联系方式和移动端数据涉及个人信息时，应遵循合法、正当、必要和最小范围原则。</w:t>
            </w:r>
          </w:p>
        </w:tc>
      </w:tr>
    </w:tbl>
    <w:p w14:paraId="43AC96B9">
      <w:pPr>
        <w:spacing w:after="60"/>
      </w:pPr>
    </w:p>
    <w:p w14:paraId="6BF3BEB2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A.6 核验来源与使用规则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5099"/>
      </w:tblGrid>
      <w:tr w14:paraId="47040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948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6DF5D3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来源</w:t>
            </w:r>
          </w:p>
        </w:tc>
        <w:tc>
          <w:tcPr>
            <w:tcW w:w="6293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E69309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用途</w:t>
            </w:r>
          </w:p>
        </w:tc>
      </w:tr>
      <w:tr w14:paraId="6C5A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0555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全国标准信息公共服务平台 https://std.samr.gov.cn/gb/</w:t>
            </w:r>
          </w:p>
        </w:tc>
        <w:tc>
          <w:tcPr>
            <w:tcW w:w="629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9354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核验国家标准的标准号、名称、实施日期、现行/废止状态及替代关系。</w:t>
            </w:r>
          </w:p>
        </w:tc>
      </w:tr>
      <w:tr w14:paraId="248A0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77D63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国家标准全文公开系统 https://openstd.samr.gov.cn/</w:t>
            </w:r>
          </w:p>
        </w:tc>
        <w:tc>
          <w:tcPr>
            <w:tcW w:w="6293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26DCE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查询公开标准全文或标准题录信息。</w:t>
            </w:r>
          </w:p>
        </w:tc>
      </w:tr>
      <w:tr w14:paraId="79480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0B176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住房和城乡建设部 https://www.mohurd.gov.cn/</w:t>
            </w:r>
          </w:p>
        </w:tc>
        <w:tc>
          <w:tcPr>
            <w:tcW w:w="629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368F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核验工程建设标准、强制性工程建设规范及其实施公告。</w:t>
            </w:r>
          </w:p>
        </w:tc>
      </w:tr>
      <w:tr w14:paraId="535FB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C7B4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工业和信息化部 https://www.miit.gov.cn/</w:t>
            </w:r>
          </w:p>
        </w:tc>
        <w:tc>
          <w:tcPr>
            <w:tcW w:w="6293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F8E9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核验通信行业标准、算力基础设施与信息通信行业政策文件。</w:t>
            </w:r>
          </w:p>
        </w:tc>
      </w:tr>
      <w:tr w14:paraId="06419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CFEA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中国政府网 https://www.gov.cn/</w:t>
            </w:r>
          </w:p>
        </w:tc>
        <w:tc>
          <w:tcPr>
            <w:tcW w:w="629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6F895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核验法律、行政法规、部门规章及国家层面政策文件。</w:t>
            </w:r>
          </w:p>
        </w:tc>
      </w:tr>
      <w:tr w14:paraId="5C901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3BA9BD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《通微智慧公司业务介绍2026-V1.pdf》</w:t>
            </w:r>
          </w:p>
        </w:tc>
        <w:tc>
          <w:tcPr>
            <w:tcW w:w="6293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4B51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公司定位、技术底座、标准产品包、能力边界和对外表述的内部依据。</w:t>
            </w:r>
          </w:p>
        </w:tc>
      </w:tr>
    </w:tbl>
    <w:p w14:paraId="70D9768B">
      <w:pPr>
        <w:spacing w:after="60"/>
      </w:pP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9"/>
      </w:tblGrid>
      <w:tr w14:paraId="1FD9F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9" w:type="dxa"/>
            <w:tcBorders>
              <w:top w:val="single" w:color="175C92" w:sz="6" w:space="0"/>
              <w:left w:val="single" w:color="175C92" w:sz="6" w:space="0"/>
              <w:bottom w:val="single" w:color="175C92" w:sz="6" w:space="0"/>
              <w:right w:val="single" w:color="175C92" w:sz="6" w:space="0"/>
            </w:tcBorders>
            <w:shd w:val="clear" w:color="auto" w:fill="EEF6E9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E4903E3">
            <w:pPr>
              <w:spacing w:after="60"/>
            </w:pPr>
            <w:r>
              <w:rPr>
                <w:rFonts w:ascii="微软雅黑" w:hAnsi="微软雅黑" w:eastAsia="微软雅黑"/>
                <w:b/>
                <w:color w:val="0D3B66"/>
                <w:sz w:val="20"/>
              </w:rPr>
              <w:t xml:space="preserve">标准引用声明  </w:t>
            </w:r>
            <w:r>
              <w:rPr>
                <w:rFonts w:ascii="微软雅黑" w:hAnsi="微软雅黑" w:eastAsia="微软雅黑"/>
                <w:color w:val="1F2937"/>
                <w:sz w:val="19"/>
              </w:rPr>
              <w:t>标准的适用范围、现行状态和替代关系应在投标/合同前再次以官方平台、主管部门或客户清单核验。本方案不以引用标准替代项目设计审查、消防审查、等保定级测评、密码应用评估或第三方设备认证。</w:t>
            </w:r>
          </w:p>
        </w:tc>
      </w:tr>
    </w:tbl>
    <w:p w14:paraId="5C26B2C9">
      <w:pPr>
        <w:spacing w:after="40"/>
      </w:pPr>
    </w:p>
    <w:p w14:paraId="59ADCB02">
      <w:r>
        <w:br w:type="page"/>
      </w:r>
    </w:p>
    <w:p w14:paraId="4B3C3E7D">
      <w:pPr>
        <w:pStyle w:val="3"/>
        <w:keepNext/>
        <w:spacing w:before="260" w:after="120"/>
      </w:pPr>
      <w:r>
        <w:rPr>
          <w:rFonts w:ascii="微软雅黑" w:hAnsi="微软雅黑" w:eastAsia="微软雅黑"/>
          <w:b/>
          <w:color w:val="0D3B66"/>
          <w:sz w:val="32"/>
        </w:rPr>
        <w:t>附录 B 项目范围与验收核验表</w:t>
      </w:r>
    </w:p>
    <w:p w14:paraId="0FF0DD7B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以下表格可作为售前需求澄清、深化设计、采购清单、实施联调和验收资料的统一底稿。项目应按实际勾选、补充并由相关责任方确认。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400"/>
        <w:gridCol w:w="3400"/>
      </w:tblGrid>
      <w:tr w14:paraId="683B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01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DEC89B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类别</w:t>
            </w:r>
          </w:p>
        </w:tc>
        <w:tc>
          <w:tcPr>
            <w:tcW w:w="5556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C8932D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核验内容</w:t>
            </w:r>
          </w:p>
        </w:tc>
        <w:tc>
          <w:tcPr>
            <w:tcW w:w="1984" w:type="dxa"/>
            <w:shd w:val="clear" w:color="auto" w:fill="0D3B6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3803E4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项目确认</w:t>
            </w:r>
          </w:p>
        </w:tc>
      </w:tr>
      <w:tr w14:paraId="31B8C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68AF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站点与对象</w:t>
            </w:r>
          </w:p>
        </w:tc>
        <w:tc>
          <w:tcPr>
            <w:tcW w:w="55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AC00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站点、机房、机柜、设备、责任人、位置编码、资产编号和重要等级。</w:t>
            </w:r>
          </w:p>
        </w:tc>
        <w:tc>
          <w:tcPr>
            <w:tcW w:w="19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8C0C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□ 已确认  □ 待补充</w:t>
            </w:r>
          </w:p>
        </w:tc>
      </w:tr>
      <w:tr w14:paraId="48C04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2FE92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监测点</w:t>
            </w:r>
          </w:p>
        </w:tc>
        <w:tc>
          <w:tcPr>
            <w:tcW w:w="5556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54A4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点位名称、单位、量程、精度、采样周期、阈值、安装位置、供电与通信。</w:t>
            </w:r>
          </w:p>
        </w:tc>
        <w:tc>
          <w:tcPr>
            <w:tcW w:w="1984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1207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□ 已确认  □ 待补充</w:t>
            </w:r>
          </w:p>
        </w:tc>
      </w:tr>
      <w:tr w14:paraId="477F1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62A9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协议与接口</w:t>
            </w:r>
          </w:p>
        </w:tc>
        <w:tc>
          <w:tcPr>
            <w:tcW w:w="55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E01EC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厂家、型号、固件、端口、协议版本、寄存器/点表、账号、许可和测试条件。</w:t>
            </w:r>
          </w:p>
        </w:tc>
        <w:tc>
          <w:tcPr>
            <w:tcW w:w="19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BC30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□ 已确认  □ 待补充</w:t>
            </w:r>
          </w:p>
        </w:tc>
      </w:tr>
      <w:tr w14:paraId="39B2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96E1A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网络</w:t>
            </w:r>
          </w:p>
        </w:tc>
        <w:tc>
          <w:tcPr>
            <w:tcW w:w="5556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BB890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IP/地址规划、VLAN/分区、端口、带宽、链路备份、4G/5G 资费和安全策略。</w:t>
            </w:r>
          </w:p>
        </w:tc>
        <w:tc>
          <w:tcPr>
            <w:tcW w:w="1984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928DD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□ 已确认  □ 待补充</w:t>
            </w:r>
          </w:p>
        </w:tc>
      </w:tr>
      <w:tr w14:paraId="113C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08D51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告警</w:t>
            </w:r>
          </w:p>
        </w:tc>
        <w:tc>
          <w:tcPr>
            <w:tcW w:w="55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03DE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等级、阈值、延时、去重、维护窗口、责任人、通知渠道、升级和关闭规则。</w:t>
            </w:r>
          </w:p>
        </w:tc>
        <w:tc>
          <w:tcPr>
            <w:tcW w:w="19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08444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□ 已确认  □ 待补充</w:t>
            </w:r>
          </w:p>
        </w:tc>
      </w:tr>
      <w:tr w14:paraId="0A1EA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C7A8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控制与联动</w:t>
            </w:r>
          </w:p>
        </w:tc>
        <w:tc>
          <w:tcPr>
            <w:tcW w:w="5556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7CA3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可控对象、命令、授权、二次确认、互锁、回执、失败处理、操作审计。</w:t>
            </w:r>
          </w:p>
        </w:tc>
        <w:tc>
          <w:tcPr>
            <w:tcW w:w="1984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0B80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□ 已确认  □ 待补充</w:t>
            </w:r>
          </w:p>
        </w:tc>
      </w:tr>
      <w:tr w14:paraId="04298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D2047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安全与数据</w:t>
            </w:r>
          </w:p>
        </w:tc>
        <w:tc>
          <w:tcPr>
            <w:tcW w:w="55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31898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等保、数据分级、视频/门禁、账号权限、日志、备份、RPO/RTO、远程运维。</w:t>
            </w:r>
          </w:p>
        </w:tc>
        <w:tc>
          <w:tcPr>
            <w:tcW w:w="19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F0D1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□ 已确认  □ 待补充</w:t>
            </w:r>
          </w:p>
        </w:tc>
      </w:tr>
      <w:tr w14:paraId="0D2F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ED60B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验收</w:t>
            </w:r>
          </w:p>
        </w:tc>
        <w:tc>
          <w:tcPr>
            <w:tcW w:w="5556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77089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单点、告警、联动、断网、恢复、报表、权限、备份恢复、培训、资料移交。</w:t>
            </w:r>
          </w:p>
        </w:tc>
        <w:tc>
          <w:tcPr>
            <w:tcW w:w="1984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B39A8">
            <w:pPr>
              <w:spacing w:after="0" w:line="269" w:lineRule="auto"/>
            </w:pPr>
            <w:r>
              <w:rPr>
                <w:rFonts w:ascii="微软雅黑" w:hAnsi="微软雅黑" w:eastAsia="微软雅黑"/>
                <w:color w:val="1F2937"/>
                <w:sz w:val="17"/>
              </w:rPr>
              <w:t>□ 已确认  □ 待补充</w:t>
            </w:r>
          </w:p>
        </w:tc>
      </w:tr>
    </w:tbl>
    <w:p w14:paraId="42464DCF">
      <w:pPr>
        <w:spacing w:after="60"/>
      </w:pPr>
    </w:p>
    <w:p w14:paraId="37A20B2C">
      <w:pPr>
        <w:pStyle w:val="4"/>
        <w:keepNext/>
        <w:spacing w:before="160" w:after="120"/>
      </w:pPr>
      <w:r>
        <w:rPr>
          <w:rFonts w:ascii="微软雅黑" w:hAnsi="微软雅黑" w:eastAsia="微软雅黑"/>
          <w:b/>
          <w:color w:val="0D3B66"/>
          <w:sz w:val="25"/>
        </w:rPr>
        <w:t>版本说明</w:t>
      </w:r>
    </w:p>
    <w:p w14:paraId="30997B59">
      <w:pPr>
        <w:keepLines/>
        <w:spacing w:after="100" w:line="341" w:lineRule="auto"/>
        <w:ind w:firstLine="420"/>
      </w:pPr>
      <w:r>
        <w:rPr>
          <w:rFonts w:ascii="微软雅黑" w:hAnsi="微软雅黑" w:eastAsia="微软雅黑"/>
          <w:color w:val="1F2937"/>
          <w:sz w:val="20"/>
        </w:rPr>
        <w:t>对于特定招投标、设计院图纸、运营商规范、数据中心等级、消防审查、等保要求或客户设备清单，应在本方案基础上形成项目专项技术方案、设备配置表、点</w:t>
      </w:r>
      <w:bookmarkStart w:id="0" w:name="_GoBack"/>
      <w:bookmarkEnd w:id="0"/>
      <w:r>
        <w:rPr>
          <w:rFonts w:ascii="微软雅黑" w:hAnsi="微软雅黑" w:eastAsia="微软雅黑"/>
          <w:color w:val="1F2937"/>
          <w:sz w:val="20"/>
        </w:rPr>
        <w:t>位表、联动矩阵、实施方案和验收方案。</w:t>
      </w:r>
    </w:p>
    <w:sectPr>
      <w:headerReference r:id="rId5" w:type="default"/>
      <w:footerReference r:id="rId6" w:type="default"/>
      <w:pgSz w:w="12240" w:h="15840"/>
      <w:pgMar w:top="992" w:right="992" w:bottom="879" w:left="1049" w:header="397" w:footer="397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2A6EC">
    <w:pPr>
      <w:pStyle w:val="24"/>
      <w:spacing w:after="0"/>
      <w:jc w:val="center"/>
    </w:pPr>
    <w:r>
      <w:rPr>
        <w:rFonts w:ascii="微软雅黑" w:hAnsi="微软雅黑" w:eastAsia="微软雅黑"/>
        <w:color w:val="64748B"/>
        <w:sz w:val="16"/>
      </w:rPr>
      <w:t xml:space="preserve">广州通微智慧科技有限公司  |  工业级 AIoT 智慧运维产品与数据服务商  |  </w:t>
    </w:r>
    <w:r>
      <w:fldChar w:fldCharType="begin"/>
    </w:r>
    <w:r>
      <w:instrText xml:space="preserve"> PAGE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506CE">
    <w:pPr>
      <w:pStyle w:val="25"/>
      <w:spacing w:after="0"/>
      <w:jc w:val="right"/>
    </w:pPr>
    <w:r>
      <w:rPr>
        <w:rFonts w:ascii="微软雅黑" w:hAnsi="微软雅黑" w:eastAsia="微软雅黑"/>
        <w:color w:val="64748B"/>
        <w:sz w:val="16"/>
      </w:rPr>
      <w:t>通微智慧 | 动力环境监控系统解决方案 V2.0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5CC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color w:val="1F2937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D3B66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D3B66"/>
      <w:sz w:val="25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175C92"/>
      <w:sz w:val="22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  <w:rPr>
      <w:rFonts w:ascii="微软雅黑" w:hAnsi="微软雅黑" w:eastAsia="微软雅黑"/>
      <w:sz w:val="20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  <w:rPr>
      <w:rFonts w:ascii="微软雅黑" w:hAnsi="微软雅黑" w:eastAsia="微软雅黑"/>
      <w:sz w:val="20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  <w:rPr>
      <w:rFonts w:ascii="微软雅黑" w:hAnsi="微软雅黑" w:eastAsia="微软雅黑"/>
      <w:sz w:val="20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8864</Words>
  <Characters>9341</Characters>
  <Lines>0</Lines>
  <Paragraphs>0</Paragraphs>
  <TotalTime>3</TotalTime>
  <ScaleCrop>false</ScaleCrop>
  <LinksUpToDate>false</LinksUpToDate>
  <CharactersWithSpaces>9576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广州通微智慧科技有限公司</dc:creator>
  <dc:description>通用版本；具体项目以深化设计、设备选型、协议测试和合同约定为准。</dc:description>
  <cp:lastModifiedBy>蔡成想</cp:lastModifiedBy>
  <dcterms:modified xsi:type="dcterms:W3CDTF">2026-08-29T06:01:21Z</dcterms:modified>
  <dc:subject>机房、数据中心、通信站点与关键设施动力环境监控及智慧运维方案</dc:subject>
  <dc:title>通微智慧动力环境监控系统解决方案 V2.0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eyJoZGlkIjoiZGU0Y2Q1MTk0Y2Q0YjljYTMzMzZjMjcwYmFkZDUxNTciLCJ1c2VySWQiOiI0NDk4NDQyNTgifQ==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264315A4B0CF45E790D4F68993B2580C_12</vt:lpwstr>
  </property>
</Properties>
</file>