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left"/>
      </w:pPr>
      <w:r>
        <w:rPr>
          <w:rFonts w:ascii="微软雅黑" w:hAnsi="微软雅黑" w:eastAsia="微软雅黑"/>
          <w:b/>
          <w:i w:val="0"/>
          <w:color w:val="0B5C86"/>
          <w:sz w:val="34"/>
        </w:rPr>
        <w:t>通微智慧科技</w:t>
      </w:r>
    </w:p>
    <w:p>
      <w:pPr>
        <w:spacing w:after="240"/>
      </w:pPr>
      <w:r>
        <w:rPr>
          <w:rFonts w:ascii="微软雅黑" w:hAnsi="微软雅黑" w:eastAsia="微软雅黑"/>
          <w:b w:val="0"/>
          <w:i w:val="0"/>
          <w:color w:val="667085"/>
          <w:sz w:val="21"/>
        </w:rPr>
        <w:t>工业级 AIoT 智慧运维产品与数据服务商</w:t>
      </w:r>
    </w:p>
    <w:p>
      <w:pPr>
        <w:spacing w:after="320"/>
        <w:jc w:val="center"/>
      </w:pPr>
      <w:r>
        <w:drawing>
          <wp:inline xmlns:a="http://schemas.openxmlformats.org/drawingml/2006/main" xmlns:pic="http://schemas.openxmlformats.org/drawingml/2006/picture">
            <wp:extent cx="6300000" cy="30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大楼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0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00" w:after="160"/>
      </w:pPr>
      <w:r>
        <w:rPr>
          <w:rFonts w:ascii="微软雅黑" w:hAnsi="微软雅黑" w:eastAsia="微软雅黑"/>
          <w:b/>
          <w:i w:val="0"/>
          <w:color w:val="0A2E4A"/>
          <w:sz w:val="50"/>
        </w:rPr>
        <w:t>通微智慧楼宇自控</w:t>
      </w:r>
    </w:p>
    <w:p>
      <w:pPr>
        <w:spacing w:after="280"/>
      </w:pPr>
      <w:r>
        <w:rPr>
          <w:rFonts w:ascii="微软雅黑" w:hAnsi="微软雅黑" w:eastAsia="微软雅黑"/>
          <w:b/>
          <w:i w:val="0"/>
          <w:color w:val="0B5C86"/>
          <w:sz w:val="50"/>
        </w:rPr>
        <w:t>系统解决方案完整版 V1.0</w:t>
      </w:r>
    </w:p>
    <w:p>
      <w:pPr>
        <w:spacing w:after="360"/>
      </w:pPr>
      <w:r>
        <w:rPr>
          <w:rFonts w:ascii="微软雅黑" w:hAnsi="微软雅黑" w:eastAsia="微软雅黑"/>
          <w:b w:val="0"/>
          <w:i w:val="0"/>
          <w:color w:val="087E8B"/>
          <w:sz w:val="22"/>
        </w:rPr>
        <w:t>BAS + AIoT  ·  可知、可视、可控  ·  以安全边界为前提的全生命周期运营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c>
          <w:tcPr>
            <w:tcW w:type="dxa" w:w="3307"/>
            <w:shd w:fill="EAF4F8" w:val="clear"/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20"/>
              </w:rPr>
              <w:t>适用对象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7"/>
              </w:rPr>
              <w:t>办公园区 / 商业综合体 / 公共建筑</w:t>
            </w:r>
          </w:p>
        </w:tc>
        <w:tc>
          <w:tcPr>
            <w:tcW w:type="dxa" w:w="3307"/>
            <w:shd w:fill="EDF7F8" w:val="clear"/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20"/>
              </w:rPr>
              <w:t>核心对象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7"/>
              </w:rPr>
              <w:t>暖通、给排水、照明、配电与环境</w:t>
            </w:r>
          </w:p>
        </w:tc>
        <w:tc>
          <w:tcPr>
            <w:tcW w:type="dxa" w:w="3307"/>
            <w:shd w:fill="F2F6FB" w:val="clear"/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20"/>
              </w:rPr>
              <w:t>交付定位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7"/>
              </w:rPr>
              <w:t>可深化、可集成、可验收</w:t>
            </w:r>
          </w:p>
        </w:tc>
      </w:tr>
    </w:tbl>
    <w:p/>
    <w:p/>
    <w:p/>
    <w:p>
      <w:pPr>
        <w:spacing w:after="60"/>
        <w:jc w:val="right"/>
      </w:pPr>
      <w:r>
        <w:rPr>
          <w:rFonts w:ascii="微软雅黑" w:hAnsi="微软雅黑" w:eastAsia="微软雅黑"/>
          <w:b/>
          <w:i w:val="0"/>
          <w:color w:val="1F2937"/>
          <w:sz w:val="22"/>
        </w:rPr>
        <w:t>广州通微智慧科技有限公司</w:t>
      </w:r>
    </w:p>
    <w:p>
      <w:pPr>
        <w:jc w:val="right"/>
      </w:pPr>
      <w:r>
        <w:rPr>
          <w:rFonts w:ascii="微软雅黑" w:hAnsi="微软雅黑" w:eastAsia="微软雅黑"/>
          <w:b w:val="0"/>
          <w:i w:val="0"/>
          <w:color w:val="667085"/>
          <w:sz w:val="20"/>
        </w:rPr>
        <w:t>2026 年 9 月</w:t>
      </w:r>
    </w:p>
    <w:p>
      <w:pPr>
        <w:sectPr>
          <w:pgSz w:w="11906" w:h="16838"/>
          <w:pgMar w:top="822" w:right="992" w:bottom="822" w:left="992" w:header="425" w:footer="425" w:gutter="0"/>
          <w:cols w:space="720"/>
          <w:titlePg/>
          <w:docGrid w:linePitch="360"/>
        </w:sectPr>
      </w:pPr>
    </w:p>
    <w:p>
      <w:pPr>
        <w:pStyle w:val="Heading1"/>
        <w:pBdr>
          <w:bottom w:val="single" w:sz="12" w:space="4" w:color="0B5C86"/>
        </w:pBdr>
      </w:pPr>
      <w:r>
        <w:t>目录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961"/>
        <w:gridCol w:w="4961"/>
      </w:tblGrid>
      <w:tr>
        <w:trPr>
          <w:cantSplit/>
        </w:trPr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一、方案概述</w:t>
            </w:r>
          </w:p>
        </w:tc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十、产品体系与交付核验要求</w:t>
            </w:r>
          </w:p>
        </w:tc>
      </w:tr>
      <w:tr>
        <w:trPr>
          <w:cantSplit/>
        </w:trPr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二、建设目标、范围与安全边界</w:t>
            </w:r>
          </w:p>
        </w:tc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十一、公司简介</w:t>
            </w:r>
          </w:p>
        </w:tc>
      </w:tr>
      <w:tr>
        <w:trPr>
          <w:cantSplit/>
        </w:trPr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三、总体架构与部署模式</w:t>
            </w:r>
          </w:p>
        </w:tc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十二、工程技术深化设计</w:t>
            </w:r>
          </w:p>
        </w:tc>
      </w:tr>
      <w:tr>
        <w:trPr>
          <w:cantSplit/>
        </w:trPr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四、现场监控与控制子系统</w:t>
            </w:r>
          </w:p>
        </w:tc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附录 A 标准、法规与互联网资料适用清单</w:t>
            </w:r>
          </w:p>
        </w:tc>
      </w:tr>
      <w:tr>
        <w:trPr>
          <w:cantSplit/>
        </w:trPr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五、平台、智能运维与数据服务</w:t>
            </w:r>
          </w:p>
        </w:tc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附录 B 项目范围与验收核验表</w:t>
            </w:r>
          </w:p>
        </w:tc>
      </w:tr>
      <w:tr>
        <w:trPr>
          <w:cantSplit/>
        </w:trPr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六、主要硬件与软件组成</w:t>
            </w:r>
          </w:p>
        </w:tc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附录 C 典型监测点与告警矩阵（模板）</w:t>
            </w:r>
          </w:p>
        </w:tc>
      </w:tr>
      <w:tr>
        <w:trPr>
          <w:cantSplit/>
        </w:trPr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七、网络安全、数据安全与可靠性设计</w:t>
            </w:r>
          </w:p>
        </w:tc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附录 D 接口、联调和验收测试用例（模板）</w:t>
            </w:r>
          </w:p>
        </w:tc>
      </w:tr>
      <w:tr>
        <w:trPr>
          <w:cantSplit/>
        </w:trPr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八、行业场景适配</w:t>
            </w:r>
          </w:p>
        </w:tc>
        <w:tc>
          <w:tcPr>
            <w:tcW w:type="dxa" w:w="4960"/>
            <w:shd w:fill="F5F8FA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附录 E 设备与软件选型核验要求</w:t>
            </w:r>
          </w:p>
        </w:tc>
      </w:tr>
      <w:tr>
        <w:trPr>
          <w:cantSplit/>
        </w:trPr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19"/>
              </w:rPr>
              <w:t>九、实施、验收与持续运维</w:t>
            </w:r>
          </w:p>
        </w:tc>
        <w:tc>
          <w:tcPr>
            <w:tcW w:type="dxa" w:w="4960"/>
            <w:shd w:fill="FFFFFF" w:val="clear"/>
            <w:tcBorders>
              <w:top w:val="single" w:sz="4" w:color="D8E2E8"/>
              <w:left w:val="single" w:sz="4" w:color="D8E2E8"/>
              <w:bottom w:val="single" w:sz="4" w:color="D8E2E8"/>
              <w:right w:val="single" w:sz="4" w:color="D8E2E8"/>
            </w:tcBorders>
            <w:tcMar>
              <w:top w:w="65" w:type="dxa"/>
              <w:start w:w="130" w:type="dxa"/>
              <w:bottom w:w="65" w:type="dxa"/>
              <w:end w:w="13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9"/>
              </w:rPr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922"/>
      </w:tblGrid>
      <w:tr>
        <w:tc>
          <w:tcPr>
            <w:tcW w:type="dxa" w:w="9921"/>
            <w:shd w:fill="F7FAFC" w:val="clear"/>
            <w:tcBorders>
              <w:top w:val="single" w:sz="10" w:color="667085"/>
              <w:left w:val="single" w:sz="10" w:color="667085"/>
              <w:bottom w:val="single" w:sz="10" w:color="667085"/>
              <w:right w:val="single" w:sz="10" w:color="667085"/>
            </w:tcBorders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微软雅黑" w:hAnsi="微软雅黑" w:eastAsia="微软雅黑"/>
                <w:b/>
                <w:i w:val="0"/>
                <w:color w:val="667085"/>
                <w:sz w:val="21"/>
              </w:rPr>
              <w:t>阅读说明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9"/>
              </w:rPr>
              <w:t>本文件为楼宇自控（BAS）通用技术方案。实际项目的系统边界、设备品牌、点位数量、控制策略、网络开通、消防/特种设备接口、施工条件及验收口径，应以建筑设计文件、深化设计、设备厂家资料、现行适用规范和合同约定为准。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一、方案概述</w:t>
      </w:r>
    </w:p>
    <w:p>
      <w:pPr>
        <w:pStyle w:val="Heading2"/>
      </w:pPr>
      <w:r>
        <w:t>1.1 建设背景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现代建筑中的暖通空调、给排水、照明、配电、环境监测及各类专用系统往往由不同厂家和时期建设，常见设备状态分散、告警靠人工转述、控制逻辑难以追溯、能耗数据与运行数据割裂等问题。楼宇自控系统以现场 DDC 控制为基础，通过标准协议和工业物联网接入，将机电运行、环境质量、能效与运维流程纳入同一运营闭环。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本方案遵循“现场控制自治、平台集中运营、数据统一治理、接口安全开放”的思路，在不突破消防、安全、设备工艺和管理边界的前提下，使管理者掌握运行态势，使运维人员具备可执行的告警与工单流程，使节能优化有连续数据作为依据。</w:t>
      </w:r>
    </w:p>
    <w:p>
      <w:pPr>
        <w:pStyle w:val="Heading2"/>
      </w:pPr>
      <w:r>
        <w:t>1.2 建设目标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303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目标</w:t>
            </w:r>
          </w:p>
        </w:tc>
        <w:tc>
          <w:tcPr>
            <w:tcW w:type="dxa" w:w="402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系统响应</w:t>
            </w:r>
          </w:p>
        </w:tc>
        <w:tc>
          <w:tcPr>
            <w:tcW w:type="dxa" w:w="459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可衡量交付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可知</w:t>
            </w:r>
          </w:p>
        </w:tc>
        <w:tc>
          <w:tcPr>
            <w:tcW w:type="dxa" w:w="402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统一采集设备状态、关键工艺参数、环境与能耗数据</w:t>
            </w:r>
          </w:p>
        </w:tc>
        <w:tc>
          <w:tcPr>
            <w:tcW w:type="dxa" w:w="459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设备台账、点表、实时数据、历史趋势与数据质量标识</w:t>
            </w:r>
          </w:p>
        </w:tc>
      </w:tr>
      <w:tr>
        <w:trPr>
          <w:cantSplit/>
        </w:trPr>
        <w:tc>
          <w:tcPr>
            <w:tcW w:type="dxa" w:w="130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可视</w:t>
            </w:r>
          </w:p>
        </w:tc>
        <w:tc>
          <w:tcPr>
            <w:tcW w:type="dxa" w:w="402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楼栋—楼层—系统—设备多层级展示，支持平面图与列表</w:t>
            </w:r>
          </w:p>
        </w:tc>
        <w:tc>
          <w:tcPr>
            <w:tcW w:type="dxa" w:w="459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运行总览、工艺流程图、告警中心、趋势曲线和报表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可控</w:t>
            </w:r>
          </w:p>
        </w:tc>
        <w:tc>
          <w:tcPr>
            <w:tcW w:type="dxa" w:w="402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时程、联锁、顺控、群控与经授权的远程操作</w:t>
            </w:r>
          </w:p>
        </w:tc>
        <w:tc>
          <w:tcPr>
            <w:tcW w:type="dxa" w:w="459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控制矩阵、权限清单、操作审计、现场反馈与异常回退</w:t>
            </w:r>
          </w:p>
        </w:tc>
      </w:tr>
      <w:tr>
        <w:trPr>
          <w:cantSplit/>
        </w:trPr>
        <w:tc>
          <w:tcPr>
            <w:tcW w:type="dxa" w:w="130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可管</w:t>
            </w:r>
          </w:p>
        </w:tc>
        <w:tc>
          <w:tcPr>
            <w:tcW w:type="dxa" w:w="402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告警分级、工单、巡检、维保与资产信息关联</w:t>
            </w:r>
          </w:p>
        </w:tc>
        <w:tc>
          <w:tcPr>
            <w:tcW w:type="dxa" w:w="459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闭环时效、故障统计、设备健康档案与 SLA 报表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可优</w:t>
            </w:r>
          </w:p>
        </w:tc>
        <w:tc>
          <w:tcPr>
            <w:tcW w:type="dxa" w:w="402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基于负荷、时段、气象、舒适度与能耗的运行分析</w:t>
            </w:r>
          </w:p>
        </w:tc>
        <w:tc>
          <w:tcPr>
            <w:tcW w:type="dxa" w:w="459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基线、分项能耗、策略建议、优化前后对比与复盘记录</w:t>
            </w:r>
          </w:p>
        </w:tc>
      </w:tr>
    </w:tbl>
    <w:p>
      <w:pPr>
        <w:spacing w:after="20"/>
      </w:pPr>
    </w:p>
    <w:p>
      <w:pPr>
        <w:pStyle w:val="Heading2"/>
      </w:pPr>
      <w:r>
        <w:t>1.3 适用场景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办公园区、总部大楼、产业园区：多楼栋运维、空调照明时程、给排水/配电/环境与能效协同。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商业综合体、酒店与公共建筑：多业态时程、冷热源群控、公共区域环境与设备可视化。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医疗、学校、交通枢纽等公共服务建筑：分区运行、关键区域环境、连续性与专用系统接口边界。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既有建筑改造：保留原有控制器和专用系统，经网关和标准接口分步纳管。</w:t>
      </w:r>
    </w:p>
    <w:p>
      <w:pPr>
        <w:pStyle w:val="Heading1"/>
        <w:pageBreakBefore/>
        <w:pBdr>
          <w:bottom w:val="single" w:sz="12" w:space="4" w:color="0B5C86"/>
        </w:pBdr>
      </w:pPr>
      <w:r>
        <w:t>二、建设目标、范围与安全边界</w:t>
      </w:r>
    </w:p>
    <w:p>
      <w:pPr>
        <w:pStyle w:val="Heading2"/>
      </w:pPr>
      <w:r>
        <w:t>2.1 建设原则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961"/>
        <w:gridCol w:w="4961"/>
      </w:tblGrid>
      <w:tr>
        <w:trPr>
          <w:tblHeader w:val="true"/>
        </w:trPr>
        <w:tc>
          <w:tcPr>
            <w:tcW w:type="dxa" w:w="150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原则</w:t>
            </w:r>
          </w:p>
        </w:tc>
        <w:tc>
          <w:tcPr>
            <w:tcW w:type="dxa" w:w="841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50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安全优先</w:t>
            </w:r>
          </w:p>
        </w:tc>
        <w:tc>
          <w:tcPr>
            <w:tcW w:type="dxa" w:w="84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任何自动控制和远程命令不得削弱消防、生命安全、设备厂家保护逻辑或现场检修安全措施。</w:t>
            </w:r>
          </w:p>
        </w:tc>
      </w:tr>
      <w:tr>
        <w:trPr>
          <w:cantSplit/>
        </w:trPr>
        <w:tc>
          <w:tcPr>
            <w:tcW w:type="dxa" w:w="150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标准开放</w:t>
            </w:r>
          </w:p>
        </w:tc>
        <w:tc>
          <w:tcPr>
            <w:tcW w:type="dxa" w:w="84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优先采用 BACnet、Modbus、KNX、OPC UA、MQTT 等可核验协议；对私有协议以厂家授权、接口清单和联调测试为准。</w:t>
            </w:r>
          </w:p>
        </w:tc>
      </w:tr>
      <w:tr>
        <w:trPr>
          <w:cantSplit/>
        </w:trPr>
        <w:tc>
          <w:tcPr>
            <w:tcW w:type="dxa" w:w="150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边缘自治</w:t>
            </w:r>
          </w:p>
        </w:tc>
        <w:tc>
          <w:tcPr>
            <w:tcW w:type="dxa" w:w="84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关键时程、联锁、保护和基本控制逻辑在现场控制器闭环运行；上位平台中断不应导致现场失控。</w:t>
            </w:r>
          </w:p>
        </w:tc>
      </w:tr>
      <w:tr>
        <w:trPr>
          <w:cantSplit/>
        </w:trPr>
        <w:tc>
          <w:tcPr>
            <w:tcW w:type="dxa" w:w="150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分步实施</w:t>
            </w:r>
          </w:p>
        </w:tc>
        <w:tc>
          <w:tcPr>
            <w:tcW w:type="dxa" w:w="84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以设备台账、点表、接口和网络清单为基线，按楼栋/系统分批接入、联调、试运行和验收。</w:t>
            </w:r>
          </w:p>
        </w:tc>
      </w:tr>
      <w:tr>
        <w:trPr>
          <w:cantSplit/>
        </w:trPr>
        <w:tc>
          <w:tcPr>
            <w:tcW w:type="dxa" w:w="150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数据可用</w:t>
            </w:r>
          </w:p>
        </w:tc>
        <w:tc>
          <w:tcPr>
            <w:tcW w:type="dxa" w:w="84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通过统一命名、单位、量程、质量标识和时间同步，保证数据可解释、可追溯、可用于报表与优化。</w:t>
            </w:r>
          </w:p>
        </w:tc>
      </w:tr>
      <w:tr>
        <w:trPr>
          <w:cantSplit/>
        </w:trPr>
        <w:tc>
          <w:tcPr>
            <w:tcW w:type="dxa" w:w="150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全生命周期</w:t>
            </w:r>
          </w:p>
        </w:tc>
        <w:tc>
          <w:tcPr>
            <w:tcW w:type="dxa" w:w="84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将工程交付、运行策略、告警闭环、软件版本、配置备份和持续优化纳入同一管理链路。</w:t>
            </w:r>
          </w:p>
        </w:tc>
      </w:tr>
    </w:tbl>
    <w:p>
      <w:pPr>
        <w:spacing w:after="20"/>
      </w:pPr>
    </w:p>
    <w:p>
      <w:pPr>
        <w:pStyle w:val="Heading2"/>
      </w:pPr>
      <w:r>
        <w:t>2.2 业务边界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44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范围</w:t>
            </w:r>
          </w:p>
        </w:tc>
        <w:tc>
          <w:tcPr>
            <w:tcW w:type="dxa" w:w="368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纳入内容</w:t>
            </w:r>
          </w:p>
        </w:tc>
        <w:tc>
          <w:tcPr>
            <w:tcW w:type="dxa" w:w="479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边界说明</w:t>
            </w:r>
          </w:p>
        </w:tc>
      </w:tr>
      <w:tr>
        <w:trPr>
          <w:cantSplit/>
        </w:trPr>
        <w:tc>
          <w:tcPr>
            <w:tcW w:type="dxa" w:w="144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楼宇自控核心</w:t>
            </w:r>
          </w:p>
        </w:tc>
        <w:tc>
          <w:tcPr>
            <w:tcW w:type="dxa" w:w="368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冷热源、空调通风、给排水、公共照明、环境、机房环境及相关设备</w:t>
            </w:r>
          </w:p>
        </w:tc>
        <w:tc>
          <w:tcPr>
            <w:tcW w:type="dxa" w:w="479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根据设计图纸、控制点表和设备接口确定；设备内部保护由原厂控制系统承担。</w:t>
            </w:r>
          </w:p>
        </w:tc>
      </w:tr>
      <w:tr>
        <w:trPr>
          <w:cantSplit/>
        </w:trPr>
        <w:tc>
          <w:tcPr>
            <w:tcW w:type="dxa" w:w="144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能源与配电接口</w:t>
            </w:r>
          </w:p>
        </w:tc>
        <w:tc>
          <w:tcPr>
            <w:tcW w:type="dxa" w:w="368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电表、配电状态、变压器/开关柜监测、分项能耗、需量与功率质量数据</w:t>
            </w:r>
          </w:p>
        </w:tc>
        <w:tc>
          <w:tcPr>
            <w:tcW w:type="dxa" w:w="479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高低压保护、开关操作及电力调度遵循电气专业规程；平台远控须经专项审批。</w:t>
            </w:r>
          </w:p>
        </w:tc>
      </w:tr>
      <w:tr>
        <w:trPr>
          <w:cantSplit/>
        </w:trPr>
        <w:tc>
          <w:tcPr>
            <w:tcW w:type="dxa" w:w="144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照明与遮阳</w:t>
            </w:r>
          </w:p>
        </w:tc>
        <w:tc>
          <w:tcPr>
            <w:tcW w:type="dxa" w:w="368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回路/场景、时程、照度、人体感应、日照与遮阳接口</w:t>
            </w:r>
          </w:p>
        </w:tc>
        <w:tc>
          <w:tcPr>
            <w:tcW w:type="dxa" w:w="479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疏散照明、消防强切等应按专项设计和消防联动逻辑执行。</w:t>
            </w:r>
          </w:p>
        </w:tc>
      </w:tr>
      <w:tr>
        <w:trPr>
          <w:cantSplit/>
        </w:trPr>
        <w:tc>
          <w:tcPr>
            <w:tcW w:type="dxa" w:w="144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消防、安防、停车、电梯</w:t>
            </w:r>
          </w:p>
        </w:tc>
        <w:tc>
          <w:tcPr>
            <w:tcW w:type="dxa" w:w="368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告警、状态、设备位置、接口事件及经批准的协同展示</w:t>
            </w:r>
          </w:p>
        </w:tc>
        <w:tc>
          <w:tcPr>
            <w:tcW w:type="dxa" w:w="479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不替代火灾报警、消防联动、安防、电梯等专用系统的独立控制与法定责任。</w:t>
            </w:r>
          </w:p>
        </w:tc>
      </w:tr>
      <w:tr>
        <w:trPr>
          <w:cantSplit/>
        </w:trPr>
        <w:tc>
          <w:tcPr>
            <w:tcW w:type="dxa" w:w="144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企业系统集成</w:t>
            </w:r>
          </w:p>
        </w:tc>
        <w:tc>
          <w:tcPr>
            <w:tcW w:type="dxa" w:w="368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统一身份、工单、资产、能管、数据中台或第三方应用</w:t>
            </w:r>
          </w:p>
        </w:tc>
        <w:tc>
          <w:tcPr>
            <w:tcW w:type="dxa" w:w="479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通过北向 API、消息订阅或报表交换接入，遵循数据分级、授权和审计要求。</w:t>
            </w:r>
          </w:p>
        </w:tc>
      </w:tr>
    </w:tbl>
    <w:p>
      <w:pPr>
        <w:spacing w:after="20"/>
      </w:pPr>
    </w:p>
    <w:p>
      <w:pPr>
        <w:pStyle w:val="Heading2"/>
      </w:pPr>
      <w:r>
        <w:t>2.3 建设范围建议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922"/>
      </w:tblGrid>
      <w:tr>
        <w:tc>
          <w:tcPr>
            <w:tcW w:type="dxa" w:w="9921"/>
            <w:shd w:fill="EAF4F8" w:val="clear"/>
            <w:tcBorders>
              <w:top w:val="single" w:sz="10" w:color="0B5C86"/>
              <w:left w:val="single" w:sz="10" w:color="0B5C86"/>
              <w:bottom w:val="single" w:sz="10" w:color="0B5C86"/>
              <w:right w:val="single" w:sz="10" w:color="0B5C86"/>
            </w:tcBorders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微软雅黑" w:hAnsi="微软雅黑" w:eastAsia="微软雅黑"/>
                <w:b/>
                <w:i w:val="0"/>
                <w:color w:val="0B5C86"/>
                <w:sz w:val="21"/>
              </w:rPr>
              <w:t>范围深化基线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9"/>
              </w:rPr>
              <w:t>项目启动阶段应先形成《楼宇系统范围确认表》《设备台账》《控制点表》《接口及协议清单》《网络与 IP 规划》《控制矩阵》《告警策略表》七项基线文件。未明确的接口、控制权限或安全联锁，不应以“可接入”为由直接纳入远程控制。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三、总体架构与部署模式</w:t>
      </w:r>
    </w:p>
    <w:p>
      <w:pPr>
        <w:pStyle w:val="Heading2"/>
      </w:pPr>
      <w:r>
        <w:t>3.1 端—边—云（平台）一体总体架构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系统采用五层架构。现场层负责可靠感知与执行；边缘控制层负责本地闭环、协议转换和断网缓存；集成层负责跨系统标准接入；平台层负责建模、告警、数据服务和权限；应用层面向运营、运维与管理角色提供可视化与业务闭环。架构支持本地部署、私有云/专有云部署或混合部署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cantSplit/>
        </w:trPr>
        <w:tc>
          <w:tcPr>
            <w:tcW w:type="dxa" w:w="1445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0A2E4A" w:val="clear"/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运营与决策层</w:t>
            </w:r>
          </w:p>
        </w:tc>
        <w:tc>
          <w:tcPr>
            <w:tcW w:type="dxa" w:w="4677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FFFFF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A2E4A"/>
                <w:sz w:val="19"/>
              </w:rPr>
              <w:t>Web / 移动端 / 大屏 / 报表 / 工单 / 资产 / 能效 / API</w:t>
            </w:r>
          </w:p>
        </w:tc>
        <w:tc>
          <w:tcPr>
            <w:tcW w:type="dxa" w:w="379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5F8FA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8"/>
              </w:rPr>
              <w:t>面向物业、运维、能源、管理与租户服务的分角色应用</w:t>
            </w:r>
          </w:p>
        </w:tc>
      </w:tr>
      <w:tr>
        <w:trPr>
          <w:cantSplit/>
        </w:trPr>
        <w:tc>
          <w:tcPr>
            <w:tcW w:type="dxa" w:w="1445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0B5C86" w:val="clear"/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平台与数据层</w:t>
            </w:r>
          </w:p>
        </w:tc>
        <w:tc>
          <w:tcPr>
            <w:tcW w:type="dxa" w:w="4677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FFFFF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A2E4A"/>
                <w:sz w:val="19"/>
              </w:rPr>
              <w:t>统一设备模型 · 时序数据 · 规则引擎 · 告警中心 · 数据服务</w:t>
            </w:r>
          </w:p>
        </w:tc>
        <w:tc>
          <w:tcPr>
            <w:tcW w:type="dxa" w:w="379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5F8FA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8"/>
              </w:rPr>
              <w:t>北向 REST / Webhook / MQTT；支持数据订阅、组织权限与审计</w:t>
            </w:r>
          </w:p>
        </w:tc>
      </w:tr>
      <w:tr>
        <w:trPr>
          <w:cantSplit/>
        </w:trPr>
        <w:tc>
          <w:tcPr>
            <w:tcW w:type="dxa" w:w="1445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1A7B93" w:val="clear"/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集成与网络层</w:t>
            </w:r>
          </w:p>
        </w:tc>
        <w:tc>
          <w:tcPr>
            <w:tcW w:type="dxa" w:w="4677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FFFFF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A2E4A"/>
                <w:sz w:val="19"/>
              </w:rPr>
              <w:t>BACnet/IP · BACnet MS/TP · Modbus RTU/TCP · KNX · OPC UA · SNMP</w:t>
            </w:r>
          </w:p>
        </w:tc>
        <w:tc>
          <w:tcPr>
            <w:tcW w:type="dxa" w:w="379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5F8FA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8"/>
              </w:rPr>
              <w:t>按网络分区部署；系统间通过受控接口接入，不跨越安全边界</w:t>
            </w:r>
          </w:p>
        </w:tc>
      </w:tr>
      <w:tr>
        <w:trPr>
          <w:cantSplit/>
        </w:trPr>
        <w:tc>
          <w:tcPr>
            <w:tcW w:type="dxa" w:w="1445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278A96" w:val="clear"/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边缘控制层</w:t>
            </w:r>
          </w:p>
        </w:tc>
        <w:tc>
          <w:tcPr>
            <w:tcW w:type="dxa" w:w="4677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FFFFF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A2E4A"/>
                <w:sz w:val="19"/>
              </w:rPr>
              <w:t>DDC 控制器 · 边缘网关 · 协议转换 · 本地 HMI · 缓存与联锁</w:t>
            </w:r>
          </w:p>
        </w:tc>
        <w:tc>
          <w:tcPr>
            <w:tcW w:type="dxa" w:w="379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5F8FA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8"/>
              </w:rPr>
              <w:t>断网不停控；本地逻辑、时程与联锁优先于云端或上位平台指令</w:t>
            </w:r>
          </w:p>
        </w:tc>
      </w:tr>
      <w:tr>
        <w:trPr>
          <w:cantSplit/>
        </w:trPr>
        <w:tc>
          <w:tcPr>
            <w:tcW w:type="dxa" w:w="1445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4F9EA8" w:val="clear"/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现场感知执行层</w:t>
            </w:r>
          </w:p>
        </w:tc>
        <w:tc>
          <w:tcPr>
            <w:tcW w:type="dxa" w:w="4677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FFFFF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0A2E4A"/>
                <w:sz w:val="19"/>
              </w:rPr>
              <w:t>温湿度 / CO₂ / 压差 / 流量 / 电表 / 阀门 / 风阀 / VFD / 设备接口</w:t>
            </w:r>
          </w:p>
        </w:tc>
        <w:tc>
          <w:tcPr>
            <w:tcW w:type="dxa" w:w="379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8" w:color="FFFFFF"/>
              <w:left w:val="single" w:sz="8" w:color="FFFFFF"/>
              <w:bottom w:val="single" w:sz="8" w:color="FFFFFF"/>
              <w:right w:val="single" w:sz="8" w:color="FFFFFF"/>
            </w:tcBorders>
            <w:shd w:fill="F5F8FA" w:val="clear"/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667085"/>
                <w:sz w:val="18"/>
              </w:rPr>
              <w:t>满足设备工艺、机电设计、消防与安全规范；关键点位须以点表核验</w:t>
            </w:r>
          </w:p>
        </w:tc>
      </w:tr>
    </w:tbl>
    <w:p>
      <w:pPr>
        <w:spacing w:after="20"/>
      </w:pPr>
    </w:p>
    <w:p>
      <w:pPr>
        <w:pStyle w:val="Heading2"/>
      </w:pPr>
      <w:r>
        <w:t>3.2 接入与集成方式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303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对象</w:t>
            </w:r>
          </w:p>
        </w:tc>
        <w:tc>
          <w:tcPr>
            <w:tcW w:type="dxa" w:w="218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优先接入方式</w:t>
            </w:r>
          </w:p>
        </w:tc>
        <w:tc>
          <w:tcPr>
            <w:tcW w:type="dxa" w:w="3146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典型数据</w:t>
            </w:r>
          </w:p>
        </w:tc>
        <w:tc>
          <w:tcPr>
            <w:tcW w:type="dxa" w:w="328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实施关注点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DDC / BMS 控制器</w:t>
            </w:r>
          </w:p>
        </w:tc>
        <w:tc>
          <w:tcPr>
            <w:tcW w:type="dxa" w:w="218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BACnet/IP、BACnet MS/TP、厂家开放接口</w:t>
            </w:r>
          </w:p>
        </w:tc>
        <w:tc>
          <w:tcPr>
            <w:tcW w:type="dxa" w:w="314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对象、属性、告警、时程、趋势、设备状态</w:t>
            </w:r>
          </w:p>
        </w:tc>
        <w:tc>
          <w:tcPr>
            <w:tcW w:type="dxa" w:w="328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网络号、实例号、对象清单、COV 策略、写权限及 BBMD/路由规划</w:t>
            </w:r>
          </w:p>
        </w:tc>
      </w:tr>
      <w:tr>
        <w:trPr>
          <w:cantSplit/>
        </w:trPr>
        <w:tc>
          <w:tcPr>
            <w:tcW w:type="dxa" w:w="130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仪表与执行器</w:t>
            </w:r>
          </w:p>
        </w:tc>
        <w:tc>
          <w:tcPr>
            <w:tcW w:type="dxa" w:w="218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Modbus RTU/TCP、DI/DO、AI/AO</w:t>
            </w:r>
          </w:p>
        </w:tc>
        <w:tc>
          <w:tcPr>
            <w:tcW w:type="dxa" w:w="314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电参量、流量、压力、温湿度、阀位、开关状态</w:t>
            </w:r>
          </w:p>
        </w:tc>
        <w:tc>
          <w:tcPr>
            <w:tcW w:type="dxa" w:w="328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地址、波特率、寄存器表、量程/倍率、隔离和现场回路校验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房控与照明</w:t>
            </w:r>
          </w:p>
        </w:tc>
        <w:tc>
          <w:tcPr>
            <w:tcW w:type="dxa" w:w="218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KNX、DALI 网关、BACnet 或厂家网关</w:t>
            </w:r>
          </w:p>
        </w:tc>
        <w:tc>
          <w:tcPr>
            <w:tcW w:type="dxa" w:w="314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场景、回路、照度、占用、遮阳、故障</w:t>
            </w:r>
          </w:p>
        </w:tc>
        <w:tc>
          <w:tcPr>
            <w:tcW w:type="dxa" w:w="328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群组地址、网关映射、消防接口边界、场景与时程归属</w:t>
            </w:r>
          </w:p>
        </w:tc>
      </w:tr>
      <w:tr>
        <w:trPr>
          <w:cantSplit/>
        </w:trPr>
        <w:tc>
          <w:tcPr>
            <w:tcW w:type="dxa" w:w="130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机电成套设备</w:t>
            </w:r>
          </w:p>
        </w:tc>
        <w:tc>
          <w:tcPr>
            <w:tcW w:type="dxa" w:w="218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BACnet、Modbus、OPC UA、厂家网关</w:t>
            </w:r>
          </w:p>
        </w:tc>
        <w:tc>
          <w:tcPr>
            <w:tcW w:type="dxa" w:w="314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运行模式、故障代码、设定值、效率、累计量</w:t>
            </w:r>
          </w:p>
        </w:tc>
        <w:tc>
          <w:tcPr>
            <w:tcW w:type="dxa" w:w="328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以设备厂家正式接口表为准；确认只读/读写对象和保修限制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上层业务平台</w:t>
            </w:r>
          </w:p>
        </w:tc>
        <w:tc>
          <w:tcPr>
            <w:tcW w:type="dxa" w:w="218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REST API、MQTT、WebSocket、文件/报表交换</w:t>
            </w:r>
          </w:p>
        </w:tc>
        <w:tc>
          <w:tcPr>
            <w:tcW w:type="dxa" w:w="314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事件、工单、台账、统计指标、地图与组织信息</w:t>
            </w:r>
          </w:p>
        </w:tc>
        <w:tc>
          <w:tcPr>
            <w:tcW w:type="dxa" w:w="328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接口鉴权、数据字段、调用频率、异常重试、审计与版本兼容</w:t>
            </w:r>
          </w:p>
        </w:tc>
      </w:tr>
    </w:tbl>
    <w:p>
      <w:pPr>
        <w:spacing w:after="20"/>
      </w:pPr>
    </w:p>
    <w:p>
      <w:pPr>
        <w:pStyle w:val="Heading2"/>
      </w:pPr>
      <w:r>
        <w:t>3.3 部署模式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75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模式</w:t>
            </w:r>
          </w:p>
        </w:tc>
        <w:tc>
          <w:tcPr>
            <w:tcW w:type="dxa" w:w="2834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适用情况</w:t>
            </w:r>
          </w:p>
        </w:tc>
        <w:tc>
          <w:tcPr>
            <w:tcW w:type="dxa" w:w="5329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特点与边界</w:t>
            </w:r>
          </w:p>
        </w:tc>
      </w:tr>
      <w:tr>
        <w:trPr>
          <w:cantSplit/>
        </w:trPr>
        <w:tc>
          <w:tcPr>
            <w:tcW w:type="dxa" w:w="175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本地私有部署</w:t>
            </w:r>
          </w:p>
        </w:tc>
        <w:tc>
          <w:tcPr>
            <w:tcW w:type="dxa" w:w="283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单体或高安全要求项目</w:t>
            </w:r>
          </w:p>
        </w:tc>
        <w:tc>
          <w:tcPr>
            <w:tcW w:type="dxa" w:w="5329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平台、数据库和网关部署在项目内网；便于内网隔离和自主运维，需配置本地备份与运维机制。</w:t>
            </w:r>
          </w:p>
        </w:tc>
      </w:tr>
      <w:tr>
        <w:trPr>
          <w:cantSplit/>
        </w:trPr>
        <w:tc>
          <w:tcPr>
            <w:tcW w:type="dxa" w:w="175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集团专有云</w:t>
            </w:r>
          </w:p>
        </w:tc>
        <w:tc>
          <w:tcPr>
            <w:tcW w:type="dxa" w:w="283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多园区/多楼宇集中运营</w:t>
            </w:r>
          </w:p>
        </w:tc>
        <w:tc>
          <w:tcPr>
            <w:tcW w:type="dxa" w:w="5329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以站点网关连接中心平台；需规划专网/VPN、站点缓冲、统一身份和数据分级。</w:t>
            </w:r>
          </w:p>
        </w:tc>
      </w:tr>
      <w:tr>
        <w:trPr>
          <w:cantSplit/>
        </w:trPr>
        <w:tc>
          <w:tcPr>
            <w:tcW w:type="dxa" w:w="175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混合部署</w:t>
            </w:r>
          </w:p>
        </w:tc>
        <w:tc>
          <w:tcPr>
            <w:tcW w:type="dxa" w:w="283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既有系统与分期改造项目</w:t>
            </w:r>
          </w:p>
        </w:tc>
        <w:tc>
          <w:tcPr>
            <w:tcW w:type="dxa" w:w="5329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控制与关键数据留在现场，运营应用与跨项目报表在中心侧；需明确定义同步边界和断链行为。</w:t>
            </w:r>
          </w:p>
        </w:tc>
      </w:tr>
    </w:tbl>
    <w:p>
      <w:pPr>
        <w:spacing w:after="20"/>
      </w:pPr>
    </w:p>
    <w:p>
      <w:pPr>
        <w:pStyle w:val="Heading2"/>
      </w:pPr>
      <w:r>
        <w:t>3.4 通微智慧楼控系统特点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以工业级 AIoT 接入和建筑机电控制为基础，将传统 BMS、设备接口和智能仪表统一纳入设备模型与运维流程。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采用“控制优先于展示”的设计：本地 DDC 保持自治，平台提供统一看板、策略下发、告警闭环和数据服务。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支持从既有系统接入到分期更新的演进路径：先可视可管，再完成点位质量治理与受控优化，降低改造风险。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通过点表、控制矩阵、接口清单和验收用例沉淀工程基线，使后续扩容、维保和策略调整可追溯。</w:t>
      </w:r>
    </w:p>
    <w:p>
      <w:pPr>
        <w:pStyle w:val="Heading1"/>
        <w:pageBreakBefore/>
        <w:pBdr>
          <w:bottom w:val="single" w:sz="12" w:space="4" w:color="0B5C86"/>
        </w:pBdr>
      </w:pPr>
      <w:r>
        <w:t>四、现场监控与控制子系统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922"/>
      </w:tblGrid>
      <w:tr>
        <w:tc>
          <w:tcPr>
            <w:tcW w:type="dxa" w:w="9921"/>
            <w:shd w:fill="FFF8E8" w:val="clear"/>
            <w:tcBorders>
              <w:top w:val="single" w:sz="10" w:color="C78000"/>
              <w:left w:val="single" w:sz="10" w:color="C78000"/>
              <w:bottom w:val="single" w:sz="10" w:color="C78000"/>
              <w:right w:val="single" w:sz="10" w:color="C78000"/>
            </w:tcBorders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微软雅黑" w:hAnsi="微软雅黑" w:eastAsia="微软雅黑"/>
                <w:b/>
                <w:i w:val="0"/>
                <w:color w:val="C78000"/>
                <w:sz w:val="21"/>
              </w:rPr>
              <w:t>控制设计总则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9"/>
              </w:rPr>
              <w:t>下述功能为典型方案说明，不构成对任何设备的默认控制承诺。启停顺序、设定值、阀位/风阀动作、保护条件、故障回退和远程控制权限，必须以设备厂家技术资料、机电设计文件、现场工况和经批准的《控制矩阵》为准。</w:t>
            </w:r>
          </w:p>
        </w:tc>
      </w:tr>
    </w:tbl>
    <w:p>
      <w:pPr>
        <w:spacing w:after="20"/>
      </w:pPr>
    </w:p>
    <w:p>
      <w:pPr>
        <w:pStyle w:val="Heading2"/>
      </w:pPr>
      <w:r>
        <w:t>4.1 冷热源与一次泵系统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对冷水机组、热泵、锅炉（如有）、一次/二次泵、冷冻水/冷却水管网、分集水器及变频器进行运行状态、故障、供回水温度、压力、流量、电参量和累计运行时间监测。系统可根据经确认的负荷、供回水温差、压差、室外湿球温度及设备效率数据，提供台数切换和设定值优化建议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典型控制：时程预启停、泵组轮换、差压闭环、机组启停许可、故障切换及运行小时均衡。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关键约束：最小流量、最小启停间隔、防冻、防结露、水泵/冷机联锁、厂家保护和现场手自动状态。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交付要点：水力图、控制点表、顺控逻辑图、设备接口表、变频器参数表、季节切换策略与试运行记录。</w:t>
      </w:r>
    </w:p>
    <w:p>
      <w:pPr>
        <w:pStyle w:val="Heading2"/>
      </w:pPr>
      <w:r>
        <w:t>4.2 冷却水与冷却塔系统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对冷却塔风机、喷淋泵、冷却水泵、补水、液位、旁通及水处理相关接口进行监视。控制策略宜考虑冷却水供回水温度、室外湿球、塔风机级数/变频、结垢风险、低温保护与设备运行许可，避免单一温度阈值造成频繁启停。</w:t>
      </w:r>
    </w:p>
    <w:p>
      <w:pPr>
        <w:pStyle w:val="Heading2"/>
      </w:pPr>
      <w:r>
        <w:t>4.3 空调箱与新风机组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空调箱（AHU）/新风机组（FAU）实现送回风温湿度、CO₂、过滤器压差、风机运行/故障、风阀位置、冷/热水阀位、防冻开关、盘管保护及变频反馈的采集与控制。典型逻辑包括时程启停、送风温度 PID、最小新风量、CO₂ 需求控制通风、过滤器报警和防冻保护。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58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功能</w:t>
            </w:r>
          </w:p>
        </w:tc>
        <w:tc>
          <w:tcPr>
            <w:tcW w:type="dxa" w:w="243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典型输入</w:t>
            </w:r>
          </w:p>
        </w:tc>
        <w:tc>
          <w:tcPr>
            <w:tcW w:type="dxa" w:w="184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典型输出</w:t>
            </w:r>
          </w:p>
        </w:tc>
        <w:tc>
          <w:tcPr>
            <w:tcW w:type="dxa" w:w="4053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控制要求</w:t>
            </w:r>
          </w:p>
        </w:tc>
      </w:tr>
      <w:tr>
        <w:trPr>
          <w:cantSplit/>
        </w:trPr>
        <w:tc>
          <w:tcPr>
            <w:tcW w:type="dxa" w:w="158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送风温度控制</w:t>
            </w:r>
          </w:p>
        </w:tc>
        <w:tc>
          <w:tcPr>
            <w:tcW w:type="dxa" w:w="243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送风温度、设定值、阀位反馈</w:t>
            </w:r>
          </w:p>
        </w:tc>
        <w:tc>
          <w:tcPr>
            <w:tcW w:type="dxa" w:w="184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冷/热水阀 AO</w:t>
            </w:r>
          </w:p>
        </w:tc>
        <w:tc>
          <w:tcPr>
            <w:tcW w:type="dxa" w:w="405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阀门正反作用、最小开度、冻结保护与季节模式由深化设计确认。</w:t>
            </w:r>
          </w:p>
        </w:tc>
      </w:tr>
      <w:tr>
        <w:trPr>
          <w:cantSplit/>
        </w:trPr>
        <w:tc>
          <w:tcPr>
            <w:tcW w:type="dxa" w:w="158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风机变频控制</w:t>
            </w:r>
          </w:p>
        </w:tc>
        <w:tc>
          <w:tcPr>
            <w:tcW w:type="dxa" w:w="243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风管静压、运行状态、故障、手自动</w:t>
            </w:r>
          </w:p>
        </w:tc>
        <w:tc>
          <w:tcPr>
            <w:tcW w:type="dxa" w:w="184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VFD 启停/频率</w:t>
            </w:r>
          </w:p>
        </w:tc>
        <w:tc>
          <w:tcPr>
            <w:tcW w:type="dxa" w:w="405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设置启停许可、最小频率、报警联锁和故障回退；不得屏蔽 VFD 自身保护。</w:t>
            </w:r>
          </w:p>
        </w:tc>
      </w:tr>
      <w:tr>
        <w:trPr>
          <w:cantSplit/>
        </w:trPr>
        <w:tc>
          <w:tcPr>
            <w:tcW w:type="dxa" w:w="158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新风需求控制</w:t>
            </w:r>
          </w:p>
        </w:tc>
        <w:tc>
          <w:tcPr>
            <w:tcW w:type="dxa" w:w="243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CO₂、人员/占用、室外空气质量（可选）</w:t>
            </w:r>
          </w:p>
        </w:tc>
        <w:tc>
          <w:tcPr>
            <w:tcW w:type="dxa" w:w="184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新风阀、风机时程</w:t>
            </w:r>
          </w:p>
        </w:tc>
        <w:tc>
          <w:tcPr>
            <w:tcW w:type="dxa" w:w="405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满足通风设计与卫生要求；异常传感器数据需触发降级策略和维护提示。</w:t>
            </w:r>
          </w:p>
        </w:tc>
      </w:tr>
      <w:tr>
        <w:trPr>
          <w:cantSplit/>
        </w:trPr>
        <w:tc>
          <w:tcPr>
            <w:tcW w:type="dxa" w:w="158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防冻与保护</w:t>
            </w:r>
          </w:p>
        </w:tc>
        <w:tc>
          <w:tcPr>
            <w:tcW w:type="dxa" w:w="243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防冻开关、盘管温度、风机状态</w:t>
            </w:r>
          </w:p>
        </w:tc>
        <w:tc>
          <w:tcPr>
            <w:tcW w:type="dxa" w:w="184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停风机、关新风、开阀等</w:t>
            </w:r>
          </w:p>
        </w:tc>
        <w:tc>
          <w:tcPr>
            <w:tcW w:type="dxa" w:w="405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保护逻辑应在现场控制器内执行，并经调试见证。</w:t>
            </w:r>
          </w:p>
        </w:tc>
      </w:tr>
    </w:tbl>
    <w:p>
      <w:pPr>
        <w:spacing w:after="20"/>
      </w:pPr>
    </w:p>
    <w:p>
      <w:pPr>
        <w:pStyle w:val="Heading2"/>
      </w:pPr>
      <w:r>
        <w:t>4.4 风机盘管、VAV 与末端房控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末端房控以分区舒适度、节能和可维护性为目标。可接入室温、湿度、CO₂、占用、窗磁、阀门、风机档位及 VAV 风量/阀位等信息，支持授权设定值范围、无人节能、会议室预约联动和异常温湿度告警。涉及租户或重要区域的设定值权限应按组织、时间和区域分级管理。</w:t>
      </w:r>
    </w:p>
    <w:p>
      <w:pPr>
        <w:pStyle w:val="Heading2"/>
      </w:pPr>
      <w:r>
        <w:t>4.5 多联机与分体空调接口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对于 VRF、多联机和分体空调，宜优先使用厂家提供的 BACnet、Modbus 或开放网关接口，采集开关机、运行模式、设定温度、故障码、室内机状态和集中控制器状态。平台侧的集中启停、时程或设定值调整须符合厂家接口权限及保修要求；离线、通讯故障和本地遥控优先级须在联调前明确。</w:t>
      </w:r>
    </w:p>
    <w:p>
      <w:pPr>
        <w:pStyle w:val="Heading2"/>
      </w:pPr>
      <w:r>
        <w:t>4.6 采暖、锅炉与换热站系统（如适用）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对锅炉、板式换热器、循环泵、补水泵、膨胀罐、热量表及阀门执行器进行运行与能耗监测。室外温度补偿、供回水温差、分时供暖、泵组轮换和故障切换可作为策略选项。燃气、燃烧、压力容器及锅炉本体保护必须由相应专用控制及专业单位负责，BAS 仅在批准范围内接入状态和指令。</w:t>
      </w:r>
    </w:p>
    <w:p>
      <w:pPr>
        <w:pStyle w:val="Heading2"/>
      </w:pPr>
      <w:r>
        <w:t>4.7 给排水与水处理系统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对生活水泵、污水/集水坑泵、雨水回收、中水、补水、水箱液位、阀门、流量计和水质接口进行监控。典型逻辑包括液位高低报警、泵组轮换、超高液位联动、干转保护接口、故障备用切换和累计运行时间维护提示。水泵直接控制和联锁必须与电气控制柜逻辑、机械条件和现场手自动状态一致。</w:t>
      </w:r>
    </w:p>
    <w:p>
      <w:pPr>
        <w:pStyle w:val="Heading2"/>
      </w:pPr>
      <w:r>
        <w:t>4.8 变配电、用能与能效数据接口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楼控平台可通过智能电表、配电监控系统或能源管理系统采集电压、电流、功率、功率因数、谐波（如支持）、电能及开关状态；并结合水、气、冷热量等计量形成分项能耗与设备能效分析。保护定值、继电保护、开关操作和高压设备控制不应由通用楼控平台替代。</w:t>
      </w:r>
    </w:p>
    <w:p>
      <w:pPr>
        <w:pStyle w:val="Heading2"/>
      </w:pPr>
      <w:r>
        <w:t>4.9 智能照明与遮阳系统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公共区域照明可按时程、照度、占用、场景、节假日和日出日落实现分组控制；遮阳可按日照、室温、眩光策略或人工优先级协同。系统应区分普通照明、应急照明、景观照明和消防强切接口。策略设计需兼顾物业作业、保安巡查、保洁、租户营业及应急场景。</w:t>
      </w:r>
    </w:p>
    <w:p>
      <w:pPr>
        <w:pStyle w:val="Heading2"/>
      </w:pPr>
      <w:r>
        <w:t>4.10 室内环境质量与地下车库通风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采集温湿度、CO₂、PM2.5、TVOC（按项目需求）、压差、CO、NO₂、风管静压和排风状态等数据。车库通风的 CO/NO₂ 控制、诱导风机/排风机联动及与消防排烟的接口，必须严格依据专项设计、产品认证和联动逻辑执行；常规通风与消防排烟工况不得混淆。</w:t>
      </w:r>
    </w:p>
    <w:p>
      <w:pPr>
        <w:pStyle w:val="Heading2"/>
      </w:pPr>
      <w:r>
        <w:t>4.11 电梯、安防、停车与信息发布接口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通过厂家或平台接口接入电梯运行状态、故障事件、停车余位/设备状态、门禁/视频事件和信息发布状态，用于统一态势展示、事件关联和工单协同。电梯控制、门禁授权、视频存储与公共安全处置仍由相应专用系统及管理制度负责。</w:t>
      </w:r>
    </w:p>
    <w:p>
      <w:pPr>
        <w:pStyle w:val="Heading2"/>
      </w:pPr>
      <w:r>
        <w:t>4.12 消防接口与强制联动边界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922"/>
      </w:tblGrid>
      <w:tr>
        <w:tc>
          <w:tcPr>
            <w:tcW w:type="dxa" w:w="9921"/>
            <w:shd w:fill="FDECEC" w:val="clear"/>
            <w:tcBorders>
              <w:top w:val="single" w:sz="10" w:color="B42318"/>
              <w:left w:val="single" w:sz="10" w:color="B42318"/>
              <w:bottom w:val="single" w:sz="10" w:color="B42318"/>
              <w:right w:val="single" w:sz="10" w:color="B42318"/>
            </w:tcBorders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微软雅黑" w:hAnsi="微软雅黑" w:eastAsia="微软雅黑"/>
                <w:b/>
                <w:i w:val="0"/>
                <w:color w:val="B42318"/>
                <w:sz w:val="21"/>
              </w:rPr>
              <w:t>消防边界要求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9"/>
              </w:rPr>
              <w:t>火灾报警、消防联动控制、排烟/补风、消防泵、防火卷帘、应急广播等必须按消防专项设计及相关强制性规范实施。BAS 仅可按批准接口获取状态、告警和事件，或接受消防系统已执行的联动结果；不得通过普通自动化策略覆盖、延迟或取消消防控制。</w:t>
            </w:r>
          </w:p>
        </w:tc>
      </w:tr>
    </w:tbl>
    <w:p>
      <w:pPr>
        <w:spacing w:after="20"/>
      </w:pPr>
    </w:p>
    <w:p>
      <w:pPr>
        <w:pStyle w:val="Heading2"/>
      </w:pPr>
      <w:r>
        <w:t>4.13 机房与关键设备房环境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对冷热源机房、变配电室、水泵房、通信机房、弱电间等关键空间实施温湿度、漏水、门状态、烟感/气体接口、配电状态、网络连通性及视频接口（如适用）监测。告警应绑定空间位置、设备对象、影响范围、责任班组和处置预案，并支持值班升级通知。</w:t>
      </w:r>
    </w:p>
    <w:p>
      <w:pPr>
        <w:pStyle w:val="Heading2"/>
      </w:pPr>
      <w:r>
        <w:t>4.14 受控联动与本地自治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平台侧联动用于跨系统信息关联、告警推送、工单触发和经批准的控制编排；涉及设备安全、连续运行和人身安全的即时保护，应落地于现场 DDC、专用控制器或电气控制柜。上位平台下发命令前须校验权限、模式、联锁、设备可用性及命令有效期，并接收执行反馈。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38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控制类别</w:t>
            </w:r>
          </w:p>
        </w:tc>
        <w:tc>
          <w:tcPr>
            <w:tcW w:type="dxa" w:w="252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示例</w:t>
            </w:r>
          </w:p>
        </w:tc>
        <w:tc>
          <w:tcPr>
            <w:tcW w:type="dxa" w:w="294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执行前提</w:t>
            </w:r>
          </w:p>
        </w:tc>
        <w:tc>
          <w:tcPr>
            <w:tcW w:type="dxa" w:w="306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平台行为 / 留痕</w:t>
            </w:r>
          </w:p>
        </w:tc>
      </w:tr>
      <w:tr>
        <w:trPr>
          <w:cantSplit/>
        </w:trPr>
        <w:tc>
          <w:tcPr>
            <w:tcW w:type="dxa" w:w="138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监视型</w:t>
            </w:r>
          </w:p>
        </w:tc>
        <w:tc>
          <w:tcPr>
            <w:tcW w:type="dxa" w:w="25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温湿度、压差、能耗、运行状态</w:t>
            </w:r>
          </w:p>
        </w:tc>
        <w:tc>
          <w:tcPr>
            <w:tcW w:type="dxa" w:w="294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点位质量通过；无控制输出</w:t>
            </w:r>
          </w:p>
        </w:tc>
        <w:tc>
          <w:tcPr>
            <w:tcW w:type="dxa" w:w="306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实时展示、趋势、越限告警、工单闭环</w:t>
            </w:r>
          </w:p>
        </w:tc>
      </w:tr>
      <w:tr>
        <w:trPr>
          <w:cantSplit/>
        </w:trPr>
        <w:tc>
          <w:tcPr>
            <w:tcW w:type="dxa" w:w="138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时程型</w:t>
            </w:r>
          </w:p>
        </w:tc>
        <w:tc>
          <w:tcPr>
            <w:tcW w:type="dxa" w:w="25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新风、公共照明、空调启停</w:t>
            </w:r>
          </w:p>
        </w:tc>
        <w:tc>
          <w:tcPr>
            <w:tcW w:type="dxa" w:w="294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经审批的日历/时程；本地控制器可独立运行</w:t>
            </w:r>
          </w:p>
        </w:tc>
        <w:tc>
          <w:tcPr>
            <w:tcW w:type="dxa" w:w="306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版本管理、例外日、启停记录与失败告警</w:t>
            </w:r>
          </w:p>
        </w:tc>
      </w:tr>
      <w:tr>
        <w:trPr>
          <w:cantSplit/>
        </w:trPr>
        <w:tc>
          <w:tcPr>
            <w:tcW w:type="dxa" w:w="138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优化建议型</w:t>
            </w:r>
          </w:p>
        </w:tc>
        <w:tc>
          <w:tcPr>
            <w:tcW w:type="dxa" w:w="25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冷机台数、设定值、需量削峰</w:t>
            </w:r>
          </w:p>
        </w:tc>
        <w:tc>
          <w:tcPr>
            <w:tcW w:type="dxa" w:w="294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人工复核设备工况、厂家限制与舒适度目标</w:t>
            </w:r>
          </w:p>
        </w:tc>
        <w:tc>
          <w:tcPr>
            <w:tcW w:type="dxa" w:w="306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输出建议与预估收益，不直接替代工艺控制</w:t>
            </w:r>
          </w:p>
        </w:tc>
      </w:tr>
      <w:tr>
        <w:trPr>
          <w:cantSplit/>
        </w:trPr>
        <w:tc>
          <w:tcPr>
            <w:tcW w:type="dxa" w:w="138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受控远程型</w:t>
            </w:r>
          </w:p>
        </w:tc>
        <w:tc>
          <w:tcPr>
            <w:tcW w:type="dxa" w:w="25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设备启停、模式切换、阀门给定</w:t>
            </w:r>
          </w:p>
        </w:tc>
        <w:tc>
          <w:tcPr>
            <w:tcW w:type="dxa" w:w="294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双确认、权限、联锁、现场状态可验证；关键设备需审批</w:t>
            </w:r>
          </w:p>
        </w:tc>
        <w:tc>
          <w:tcPr>
            <w:tcW w:type="dxa" w:w="306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命令、操作者、时间、结果、反馈值完整审计</w:t>
            </w:r>
          </w:p>
        </w:tc>
      </w:tr>
      <w:tr>
        <w:trPr>
          <w:cantSplit/>
        </w:trPr>
        <w:tc>
          <w:tcPr>
            <w:tcW w:type="dxa" w:w="138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安全联锁型</w:t>
            </w:r>
          </w:p>
        </w:tc>
        <w:tc>
          <w:tcPr>
            <w:tcW w:type="dxa" w:w="25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防冻、防溢流、风机故障保护</w:t>
            </w:r>
          </w:p>
        </w:tc>
        <w:tc>
          <w:tcPr>
            <w:tcW w:type="dxa" w:w="294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由本地 DDC / 专用控制器实现；逻辑经调试批准</w:t>
            </w:r>
          </w:p>
        </w:tc>
        <w:tc>
          <w:tcPr>
            <w:tcW w:type="dxa" w:w="306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上位系统只监视和告警，不绕过安全或消防联锁</w:t>
            </w:r>
          </w:p>
        </w:tc>
      </w:tr>
    </w:tbl>
    <w:p>
      <w:pPr>
        <w:spacing w:after="20"/>
      </w:pPr>
    </w:p>
    <w:p>
      <w:pPr>
        <w:pStyle w:val="Heading2"/>
      </w:pPr>
      <w:r>
        <w:t>4.15 典型控制点与数据对象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303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点类型</w:t>
            </w:r>
          </w:p>
        </w:tc>
        <w:tc>
          <w:tcPr>
            <w:tcW w:type="dxa" w:w="1814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含义</w:t>
            </w:r>
          </w:p>
        </w:tc>
        <w:tc>
          <w:tcPr>
            <w:tcW w:type="dxa" w:w="289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示例</w:t>
            </w:r>
          </w:p>
        </w:tc>
        <w:tc>
          <w:tcPr>
            <w:tcW w:type="dxa" w:w="419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工程要求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AI</w:t>
            </w:r>
          </w:p>
        </w:tc>
        <w:tc>
          <w:tcPr>
            <w:tcW w:type="dxa" w:w="181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模拟量输入</w:t>
            </w:r>
          </w:p>
        </w:tc>
        <w:tc>
          <w:tcPr>
            <w:tcW w:type="dxa" w:w="289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温度、湿度、压差、流量、阀位反馈、电参量</w:t>
            </w:r>
          </w:p>
        </w:tc>
        <w:tc>
          <w:tcPr>
            <w:tcW w:type="dxa" w:w="419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明确量程、精度、单位、采样周期、故障值和校验方式。</w:t>
            </w:r>
          </w:p>
        </w:tc>
      </w:tr>
      <w:tr>
        <w:trPr>
          <w:cantSplit/>
        </w:trPr>
        <w:tc>
          <w:tcPr>
            <w:tcW w:type="dxa" w:w="130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AO</w:t>
            </w:r>
          </w:p>
        </w:tc>
        <w:tc>
          <w:tcPr>
            <w:tcW w:type="dxa" w:w="181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模拟量输出</w:t>
            </w:r>
          </w:p>
        </w:tc>
        <w:tc>
          <w:tcPr>
            <w:tcW w:type="dxa" w:w="289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阀门开度、风阀开度、变频给定、设定值</w:t>
            </w:r>
          </w:p>
        </w:tc>
        <w:tc>
          <w:tcPr>
            <w:tcW w:type="dxa" w:w="419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明确输出制式、正反作用、失效位、最小/最大限幅和手自动优先级。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DI</w:t>
            </w:r>
          </w:p>
        </w:tc>
        <w:tc>
          <w:tcPr>
            <w:tcW w:type="dxa" w:w="181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数字量输入</w:t>
            </w:r>
          </w:p>
        </w:tc>
        <w:tc>
          <w:tcPr>
            <w:tcW w:type="dxa" w:w="289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运行、故障、手自动、液位开关、门磁</w:t>
            </w:r>
          </w:p>
        </w:tc>
        <w:tc>
          <w:tcPr>
            <w:tcW w:type="dxa" w:w="419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明确干湿接点、常开/常闭、去抖时间、断线识别和现场标识。</w:t>
            </w:r>
          </w:p>
        </w:tc>
      </w:tr>
      <w:tr>
        <w:trPr>
          <w:cantSplit/>
        </w:trPr>
        <w:tc>
          <w:tcPr>
            <w:tcW w:type="dxa" w:w="130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DO</w:t>
            </w:r>
          </w:p>
        </w:tc>
        <w:tc>
          <w:tcPr>
            <w:tcW w:type="dxa" w:w="181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数字量输出</w:t>
            </w:r>
          </w:p>
        </w:tc>
        <w:tc>
          <w:tcPr>
            <w:tcW w:type="dxa" w:w="289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启停、复位、场景、报警输出</w:t>
            </w:r>
          </w:p>
        </w:tc>
        <w:tc>
          <w:tcPr>
            <w:tcW w:type="dxa" w:w="419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明确继电器容量、中间继电器、保持/脉冲、反馈校验及安全联锁。</w:t>
            </w:r>
          </w:p>
        </w:tc>
      </w:tr>
      <w:tr>
        <w:trPr>
          <w:cantSplit/>
        </w:trPr>
        <w:tc>
          <w:tcPr>
            <w:tcW w:type="dxa" w:w="130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通信对象</w:t>
            </w:r>
          </w:p>
        </w:tc>
        <w:tc>
          <w:tcPr>
            <w:tcW w:type="dxa" w:w="181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协议数据点</w:t>
            </w:r>
          </w:p>
        </w:tc>
        <w:tc>
          <w:tcPr>
            <w:tcW w:type="dxa" w:w="289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BACnet 对象、Modbus 寄存器、KNX 群组地址</w:t>
            </w:r>
          </w:p>
        </w:tc>
        <w:tc>
          <w:tcPr>
            <w:tcW w:type="dxa" w:w="419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提供对象/寄存器表、访问权限、单位/倍率、刷新/COV 策略和异常码处理。</w:t>
            </w:r>
          </w:p>
        </w:tc>
      </w:tr>
    </w:tbl>
    <w:p>
      <w:pPr>
        <w:spacing w:after="20"/>
      </w:pPr>
    </w:p>
    <w:p>
      <w:pPr>
        <w:pStyle w:val="Heading2"/>
      </w:pPr>
      <w:r>
        <w:t>4.16 告警分级与处置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133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等级</w:t>
            </w:r>
          </w:p>
        </w:tc>
        <w:tc>
          <w:tcPr>
            <w:tcW w:type="dxa" w:w="3004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示例</w:t>
            </w:r>
          </w:p>
        </w:tc>
        <w:tc>
          <w:tcPr>
            <w:tcW w:type="dxa" w:w="311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建议响应</w:t>
            </w:r>
          </w:p>
        </w:tc>
        <w:tc>
          <w:tcPr>
            <w:tcW w:type="dxa" w:w="294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通知与升级</w:t>
            </w:r>
          </w:p>
        </w:tc>
      </w:tr>
      <w:tr>
        <w:trPr>
          <w:cantSplit/>
        </w:trPr>
        <w:tc>
          <w:tcPr>
            <w:tcW w:type="dxa" w:w="113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提示</w:t>
            </w:r>
          </w:p>
        </w:tc>
        <w:tc>
          <w:tcPr>
            <w:tcW w:type="dxa" w:w="300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传感器轻微偏离、维护周期临近、通信抖动</w:t>
            </w:r>
          </w:p>
        </w:tc>
        <w:tc>
          <w:tcPr>
            <w:tcW w:type="dxa" w:w="31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纳入待办或巡检计划</w:t>
            </w:r>
          </w:p>
        </w:tc>
        <w:tc>
          <w:tcPr>
            <w:tcW w:type="dxa" w:w="294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工作时段推送；支持批量确认和统计</w:t>
            </w:r>
          </w:p>
        </w:tc>
      </w:tr>
      <w:tr>
        <w:trPr>
          <w:cantSplit/>
        </w:trPr>
        <w:tc>
          <w:tcPr>
            <w:tcW w:type="dxa" w:w="113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一般</w:t>
            </w:r>
          </w:p>
        </w:tc>
        <w:tc>
          <w:tcPr>
            <w:tcW w:type="dxa" w:w="300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设备单次故障、舒适度超限、表计异常</w:t>
            </w:r>
          </w:p>
        </w:tc>
        <w:tc>
          <w:tcPr>
            <w:tcW w:type="dxa" w:w="31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班组核查、工单处置、记录原因</w:t>
            </w:r>
          </w:p>
        </w:tc>
        <w:tc>
          <w:tcPr>
            <w:tcW w:type="dxa" w:w="294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值班人员与责任班组；逾期升级</w:t>
            </w:r>
          </w:p>
        </w:tc>
      </w:tr>
      <w:tr>
        <w:trPr>
          <w:cantSplit/>
        </w:trPr>
        <w:tc>
          <w:tcPr>
            <w:tcW w:type="dxa" w:w="113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重要</w:t>
            </w:r>
          </w:p>
        </w:tc>
        <w:tc>
          <w:tcPr>
            <w:tcW w:type="dxa" w:w="300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关键机组停机、集水坑高液位、主要区域环境异常</w:t>
            </w:r>
          </w:p>
        </w:tc>
        <w:tc>
          <w:tcPr>
            <w:tcW w:type="dxa" w:w="31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立即研判影响范围并现场处置</w:t>
            </w:r>
          </w:p>
        </w:tc>
        <w:tc>
          <w:tcPr>
            <w:tcW w:type="dxa" w:w="294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值班负责人、专业负责人；按预案升级</w:t>
            </w:r>
          </w:p>
        </w:tc>
      </w:tr>
      <w:tr>
        <w:trPr>
          <w:cantSplit/>
        </w:trPr>
        <w:tc>
          <w:tcPr>
            <w:tcW w:type="dxa" w:w="113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紧急</w:t>
            </w:r>
          </w:p>
        </w:tc>
        <w:tc>
          <w:tcPr>
            <w:tcW w:type="dxa" w:w="300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影响安全/连续运行的重大事件接口</w:t>
            </w:r>
          </w:p>
        </w:tc>
        <w:tc>
          <w:tcPr>
            <w:tcW w:type="dxa" w:w="31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按应急预案执行，必要时转入专用系统和人工指挥</w:t>
            </w:r>
          </w:p>
        </w:tc>
        <w:tc>
          <w:tcPr>
            <w:tcW w:type="dxa" w:w="294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多级通知、全过程审计；平台不替代应急指挥体系</w:t>
            </w:r>
          </w:p>
        </w:tc>
      </w:tr>
    </w:tbl>
    <w:p>
      <w:pPr>
        <w:spacing w:after="20"/>
      </w:pPr>
    </w:p>
    <w:p>
      <w:pPr>
        <w:pStyle w:val="Heading2"/>
      </w:pPr>
      <w:r>
        <w:t>4.17 能效、用能与碳数据基础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系统将电、水、气、冷热量等计量数据与设备运行、气象、面积、租户/业态、时程等维度关联，构建能耗总览、分项/分区对比、峰谷分析、设备效率、异常用能和目标跟踪。碳排放核算因子、统计口径和报送边界应按项目所在地区政策、主管部门要求和客户管理制度配置，不应以平台默认参数替代正式核算依据。</w:t>
      </w:r>
    </w:p>
    <w:p>
      <w:pPr>
        <w:pStyle w:val="Heading1"/>
        <w:pageBreakBefore/>
        <w:pBdr>
          <w:bottom w:val="single" w:sz="12" w:space="4" w:color="0B5C86"/>
        </w:pBdr>
      </w:pPr>
      <w:r>
        <w:t>五、平台、智能运维与数据服务</w:t>
      </w:r>
    </w:p>
    <w:p>
      <w:pPr>
        <w:pStyle w:val="Heading2"/>
      </w:pPr>
      <w:r>
        <w:t>5.1 运行环境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平台可部署于项目内网服务器、虚拟化资源、私有云或经批准的专有云环境。基础环境需明确 CPU/内存/存储、操作系统、数据库、备份、NTP、域名/证书、病毒防护、日志留存及网络开通要求。容量设计应基于接入点数、采样频率、趋势保留周期、并发用户、视频/文件是否纳入平台及未来扩容系数进行核算。</w:t>
      </w:r>
    </w:p>
    <w:p>
      <w:pPr>
        <w:pStyle w:val="Heading2"/>
      </w:pPr>
      <w:r>
        <w:t>5.2 数据大屏与运行态势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园区/楼宇总览：建筑分布、设备在线率、运行模式、当前告警、今日能耗和重要工单。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系统看板：冷热源、空调通风、给排水、照明、配电及环境等专题运行状态与关键 KPI。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空间视图：按楼栋、楼层、区域、机房或平面图定位设备与告警；图纸由项目方提供或按约定建模。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管理驾驶舱：运行可靠性、告警时效、维保完成率、能耗结构、异常用能与优化措施跟踪。</w:t>
      </w:r>
    </w:p>
    <w:p>
      <w:pPr>
        <w:pStyle w:val="Heading2"/>
      </w:pPr>
      <w:r>
        <w:t>5.3 后台管理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53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模块</w:t>
            </w:r>
          </w:p>
        </w:tc>
        <w:tc>
          <w:tcPr>
            <w:tcW w:type="dxa" w:w="408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主要能力</w:t>
            </w:r>
          </w:p>
        </w:tc>
        <w:tc>
          <w:tcPr>
            <w:tcW w:type="dxa" w:w="442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管理要点</w:t>
            </w:r>
          </w:p>
        </w:tc>
      </w:tr>
      <w:tr>
        <w:trPr>
          <w:cantSplit/>
        </w:trPr>
        <w:tc>
          <w:tcPr>
            <w:tcW w:type="dxa" w:w="153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设备与空间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园区/楼栋/楼层/空间/系统/设备建模，编码、台账、二维码、关系图谱</w:t>
            </w:r>
          </w:p>
        </w:tc>
        <w:tc>
          <w:tcPr>
            <w:tcW w:type="dxa" w:w="44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统一命名、设备唯一标识、变更流程和导入校验。</w:t>
            </w:r>
          </w:p>
        </w:tc>
      </w:tr>
      <w:tr>
        <w:trPr>
          <w:cantSplit/>
        </w:trPr>
        <w:tc>
          <w:tcPr>
            <w:tcW w:type="dxa" w:w="153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告警中心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规则、阈值、延时、合并、抑制、确认、通知、升级与关联分析</w:t>
            </w:r>
          </w:p>
        </w:tc>
        <w:tc>
          <w:tcPr>
            <w:tcW w:type="dxa" w:w="44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避免告警风暴；区分通信故障、传感器异常和设备工艺故障。</w:t>
            </w:r>
          </w:p>
        </w:tc>
      </w:tr>
      <w:tr>
        <w:trPr>
          <w:cantSplit/>
        </w:trPr>
        <w:tc>
          <w:tcPr>
            <w:tcW w:type="dxa" w:w="153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工单与巡检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派单、接单、到场、处置、复核、备件、知识库、SLA</w:t>
            </w:r>
          </w:p>
        </w:tc>
        <w:tc>
          <w:tcPr>
            <w:tcW w:type="dxa" w:w="44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闭环记录需关联设备、告警、照片/附件、原因和处理结果。</w:t>
            </w:r>
          </w:p>
        </w:tc>
      </w:tr>
      <w:tr>
        <w:trPr>
          <w:cantSplit/>
        </w:trPr>
        <w:tc>
          <w:tcPr>
            <w:tcW w:type="dxa" w:w="153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时程与策略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日历、例外日、分组、季节切换、策略版本与灰度发布</w:t>
            </w:r>
          </w:p>
        </w:tc>
        <w:tc>
          <w:tcPr>
            <w:tcW w:type="dxa" w:w="44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策略变更须审批、可回滚；关键控制动作必须受权限和联锁约束。</w:t>
            </w:r>
          </w:p>
        </w:tc>
      </w:tr>
      <w:tr>
        <w:trPr>
          <w:cantSplit/>
        </w:trPr>
        <w:tc>
          <w:tcPr>
            <w:tcW w:type="dxa" w:w="153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报表与数据服务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趋势、统计、同比环比、能耗、运行时长、接口订阅/导出</w:t>
            </w:r>
          </w:p>
        </w:tc>
        <w:tc>
          <w:tcPr>
            <w:tcW w:type="dxa" w:w="44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数据权限、脱敏、保留期、接口限流和字段版本需统一管理。</w:t>
            </w:r>
          </w:p>
        </w:tc>
      </w:tr>
      <w:tr>
        <w:trPr>
          <w:cantSplit/>
        </w:trPr>
        <w:tc>
          <w:tcPr>
            <w:tcW w:type="dxa" w:w="153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组织与安全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组织、角色、用户、最小权限、多因素认证（可选）、审计</w:t>
            </w:r>
          </w:p>
        </w:tc>
        <w:tc>
          <w:tcPr>
            <w:tcW w:type="dxa" w:w="44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账户生命周期、离职回收、远程运维临时授权和高风险操作复核。</w:t>
            </w:r>
          </w:p>
        </w:tc>
      </w:tr>
    </w:tbl>
    <w:p>
      <w:pPr>
        <w:spacing w:after="20"/>
      </w:pPr>
    </w:p>
    <w:p>
      <w:pPr>
        <w:pStyle w:val="Heading2"/>
      </w:pPr>
      <w:r>
        <w:t>5.4 移动端与值班协同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移动端可支持告警接收、工单处置、巡检任务、扫码查看台账、趋势查看、拍照上传和审批确认。涉及设备远程控制的移动端功能应采用更严格的身份验证、授权范围、双确认、命令有效期和审计机制；在未满足上述条件时，移动端仅提供监视与处置协同。</w:t>
      </w:r>
    </w:p>
    <w:p>
      <w:pPr>
        <w:pStyle w:val="Heading2"/>
      </w:pPr>
      <w:r>
        <w:t>5.5 数据治理与智能分析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数据治理围绕“可用、可信、可追溯”开展：统一设备编码与点位命名；明确单位、量程、采样频率和数据质量状态；通过缺失、越界、漂移、冻结值和通讯中断规则识别异常数据；采用时间同步保证跨系统事件的时序一致。智能分析可用于异常检测、负荷预测、能效对标和维护建议，但输出应作为辅助决策，关键控制须由专业人员复核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984"/>
        <w:gridCol w:w="1984"/>
        <w:gridCol w:w="1984"/>
        <w:gridCol w:w="1984"/>
        <w:gridCol w:w="1984"/>
      </w:tblGrid>
      <w:tr>
        <w:tc>
          <w:tcPr>
            <w:tcW w:type="dxa" w:w="1984"/>
            <w:shd w:fill="0A2E4A" w:val="clear"/>
            <w:tcBorders>
              <w:top w:val="single" w:sz="10" w:color="FFFFFF"/>
              <w:left w:val="single" w:sz="10" w:color="FFFFFF"/>
              <w:bottom w:val="single" w:sz="10" w:color="FFFFFF"/>
              <w:right w:val="single" w:sz="10" w:color="FFFFFF"/>
            </w:tcBorders>
            <w:tcMar>
              <w:top w:w="140" w:type="dxa"/>
              <w:start w:w="70" w:type="dxa"/>
              <w:bottom w:w="14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01 感知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FFFFFF"/>
                <w:sz w:val="16"/>
              </w:rPr>
              <w:t>点位采集、状态变化、事件触发</w:t>
            </w:r>
          </w:p>
        </w:tc>
        <w:tc>
          <w:tcPr>
            <w:tcW w:type="dxa" w:w="1984"/>
            <w:shd w:fill="0B5C86" w:val="clear"/>
            <w:tcBorders>
              <w:top w:val="single" w:sz="10" w:color="FFFFFF"/>
              <w:left w:val="single" w:sz="10" w:color="FFFFFF"/>
              <w:bottom w:val="single" w:sz="10" w:color="FFFFFF"/>
              <w:right w:val="single" w:sz="10" w:color="FFFFFF"/>
            </w:tcBorders>
            <w:tcMar>
              <w:top w:w="140" w:type="dxa"/>
              <w:start w:w="70" w:type="dxa"/>
              <w:bottom w:w="14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02 研判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FFFFFF"/>
                <w:sz w:val="16"/>
              </w:rPr>
              <w:t>规则、阈值、关联分析、优先级</w:t>
            </w:r>
          </w:p>
        </w:tc>
        <w:tc>
          <w:tcPr>
            <w:tcW w:type="dxa" w:w="1984"/>
            <w:shd w:fill="087E8B" w:val="clear"/>
            <w:tcBorders>
              <w:top w:val="single" w:sz="10" w:color="FFFFFF"/>
              <w:left w:val="single" w:sz="10" w:color="FFFFFF"/>
              <w:bottom w:val="single" w:sz="10" w:color="FFFFFF"/>
              <w:right w:val="single" w:sz="10" w:color="FFFFFF"/>
            </w:tcBorders>
            <w:tcMar>
              <w:top w:w="140" w:type="dxa"/>
              <w:start w:w="70" w:type="dxa"/>
              <w:bottom w:w="14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03 派单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FFFFFF"/>
                <w:sz w:val="16"/>
              </w:rPr>
              <w:t>通知、工单、SLA、处置预案</w:t>
            </w:r>
          </w:p>
        </w:tc>
        <w:tc>
          <w:tcPr>
            <w:tcW w:type="dxa" w:w="1984"/>
            <w:shd w:fill="1E8E6E" w:val="clear"/>
            <w:tcBorders>
              <w:top w:val="single" w:sz="10" w:color="FFFFFF"/>
              <w:left w:val="single" w:sz="10" w:color="FFFFFF"/>
              <w:bottom w:val="single" w:sz="10" w:color="FFFFFF"/>
              <w:right w:val="single" w:sz="10" w:color="FFFFFF"/>
            </w:tcBorders>
            <w:tcMar>
              <w:top w:w="140" w:type="dxa"/>
              <w:start w:w="70" w:type="dxa"/>
              <w:bottom w:w="14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04 验证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FFFFFF"/>
                <w:sz w:val="16"/>
              </w:rPr>
              <w:t>恢复确认、远程复核、现场记录</w:t>
            </w:r>
          </w:p>
        </w:tc>
        <w:tc>
          <w:tcPr>
            <w:tcW w:type="dxa" w:w="1984"/>
            <w:shd w:fill="3B6C93" w:val="clear"/>
            <w:tcBorders>
              <w:top w:val="single" w:sz="10" w:color="FFFFFF"/>
              <w:left w:val="single" w:sz="10" w:color="FFFFFF"/>
              <w:bottom w:val="single" w:sz="10" w:color="FFFFFF"/>
              <w:right w:val="single" w:sz="10" w:color="FFFFFF"/>
            </w:tcBorders>
            <w:tcMar>
              <w:top w:w="140" w:type="dxa"/>
              <w:start w:w="70" w:type="dxa"/>
              <w:bottom w:w="14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0"/>
              </w:rPr>
              <w:t>05 复盘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FFFFFF"/>
                <w:sz w:val="16"/>
              </w:rPr>
              <w:t>根因归档、策略优化、报表沉淀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六、主要硬件与软件组成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922"/>
      </w:tblGrid>
      <w:tr>
        <w:tc>
          <w:tcPr>
            <w:tcW w:type="dxa" w:w="9921"/>
            <w:shd w:fill="FFF8E8" w:val="clear"/>
            <w:tcBorders>
              <w:top w:val="single" w:sz="10" w:color="C78000"/>
              <w:left w:val="single" w:sz="10" w:color="C78000"/>
              <w:bottom w:val="single" w:sz="10" w:color="C78000"/>
              <w:right w:val="single" w:sz="10" w:color="C78000"/>
            </w:tcBorders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微软雅黑" w:hAnsi="微软雅黑" w:eastAsia="微软雅黑"/>
                <w:b/>
                <w:i w:val="0"/>
                <w:color w:val="C78000"/>
                <w:sz w:val="21"/>
              </w:rPr>
              <w:t>选型说明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9"/>
              </w:rPr>
              <w:t>本章描述能力类别，不对应唯一型号或固定技术参数。实际硬件型号、数量、接口数量、I/O 冗余、供电、安装方式、防护等级、认证、软件版本及第三方授权，应在深化设计、报价清单和设备技术资料中逐项确认。</w:t>
            </w:r>
          </w:p>
        </w:tc>
      </w:tr>
    </w:tbl>
    <w:p>
      <w:pPr>
        <w:spacing w:after="20"/>
      </w:pPr>
    </w:p>
    <w:p>
      <w:pPr>
        <w:pStyle w:val="Heading2"/>
      </w:pPr>
      <w:r>
        <w:t>6.1 工业边缘网关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用于多协议设备接入、边缘数据缓存、协议转换、数据预处理、北向安全传输和远程运维。应根据串口/网口数量、协议负载、点数、缓存周期、网络隔离、供电和现场环境选择；关键站点可配置双网、存储冗余或备用设备。</w:t>
      </w:r>
    </w:p>
    <w:p>
      <w:pPr>
        <w:pStyle w:val="Heading2"/>
      </w:pPr>
      <w:r>
        <w:t>6.2 网络型 DDC 控制器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用于冷热源、空调箱、新风、给排水、照明等机电系统的现场控制。应支持所需 I/O 类型、BACnet 或项目规定协议、程序下载/备份、时程、趋势、报警、本地时钟和断网自治。控制器的 I/O 容量、扩展能力及程序版权/维护权限应在采购前核验。</w:t>
      </w:r>
    </w:p>
    <w:p>
      <w:pPr>
        <w:pStyle w:val="Heading2"/>
      </w:pPr>
      <w:r>
        <w:t>6.3 扩展 I/O 与信号调理模块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包括 AI、AO、DI、DO、继电器、隔离器、通讯转换器及电源模块。选型需结合传感器输出制式、执行器输入制式、回路长度、干扰环境、接地方式和电柜布局，确保不因共地、屏蔽、浪涌或容量不足影响控制可靠性。</w:t>
      </w:r>
    </w:p>
    <w:p>
      <w:pPr>
        <w:pStyle w:val="Heading2"/>
      </w:pPr>
      <w:r>
        <w:t>6.4 房间控制器与人机界面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适用于风机盘管、VAV、会议室及分区环境控制，支持温度/湿度/CO₂/占用等采集、设定值调整和模式显示。人机界面应限制可调范围，并与集中策略、节假日、窗磁/占用状态和运维权限协调。</w:t>
      </w:r>
    </w:p>
    <w:p>
      <w:pPr>
        <w:pStyle w:val="Heading2"/>
      </w:pPr>
      <w:r>
        <w:t>6.5 现场传感器与执行器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474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类别</w:t>
            </w:r>
          </w:p>
        </w:tc>
        <w:tc>
          <w:tcPr>
            <w:tcW w:type="dxa" w:w="2664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典型对象</w:t>
            </w:r>
          </w:p>
        </w:tc>
        <w:tc>
          <w:tcPr>
            <w:tcW w:type="dxa" w:w="5896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选型/安装关注点</w:t>
            </w:r>
          </w:p>
        </w:tc>
      </w:tr>
      <w:tr>
        <w:trPr>
          <w:cantSplit/>
        </w:trPr>
        <w:tc>
          <w:tcPr>
            <w:tcW w:type="dxa" w:w="147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环境传感器</w:t>
            </w:r>
          </w:p>
        </w:tc>
        <w:tc>
          <w:tcPr>
            <w:tcW w:type="dxa" w:w="266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温湿度、CO₂、PM2.5、TVOC、压差、CO/NO₂</w:t>
            </w:r>
          </w:p>
        </w:tc>
        <w:tc>
          <w:tcPr>
            <w:tcW w:type="dxa" w:w="589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量程、精度、校准、安装高度、气流组织、避开热源/直吹和维护可达性。</w:t>
            </w:r>
          </w:p>
        </w:tc>
      </w:tr>
      <w:tr>
        <w:trPr>
          <w:cantSplit/>
        </w:trPr>
        <w:tc>
          <w:tcPr>
            <w:tcW w:type="dxa" w:w="147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水系统仪表</w:t>
            </w:r>
          </w:p>
        </w:tc>
        <w:tc>
          <w:tcPr>
            <w:tcW w:type="dxa" w:w="266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温度、压力、压差、流量、液位、水质接口</w:t>
            </w:r>
          </w:p>
        </w:tc>
        <w:tc>
          <w:tcPr>
            <w:tcW w:type="dxa" w:w="589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介质兼容、耐压、安装直管段、取压位置、排气排污、检修阀和二次仪表。</w:t>
            </w:r>
          </w:p>
        </w:tc>
      </w:tr>
      <w:tr>
        <w:trPr>
          <w:cantSplit/>
        </w:trPr>
        <w:tc>
          <w:tcPr>
            <w:tcW w:type="dxa" w:w="147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电参量仪表</w:t>
            </w:r>
          </w:p>
        </w:tc>
        <w:tc>
          <w:tcPr>
            <w:tcW w:type="dxa" w:w="266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电表、互感器、开关状态、功率质量接口</w:t>
            </w:r>
          </w:p>
        </w:tc>
        <w:tc>
          <w:tcPr>
            <w:tcW w:type="dxa" w:w="589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CT 变比与方向、接线相序、通讯地址、计量精度、检定/校验和防护等级。</w:t>
            </w:r>
          </w:p>
        </w:tc>
      </w:tr>
      <w:tr>
        <w:trPr>
          <w:cantSplit/>
        </w:trPr>
        <w:tc>
          <w:tcPr>
            <w:tcW w:type="dxa" w:w="147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执行机构</w:t>
            </w:r>
          </w:p>
        </w:tc>
        <w:tc>
          <w:tcPr>
            <w:tcW w:type="dxa" w:w="266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电动阀、风阀执行器、变频器、接触器接口</w:t>
            </w:r>
          </w:p>
        </w:tc>
        <w:tc>
          <w:tcPr>
            <w:tcW w:type="dxa" w:w="589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力矩/行程、失效位、反馈、手动机构、联锁、供电和电柜端子标识。</w:t>
            </w:r>
          </w:p>
        </w:tc>
      </w:tr>
    </w:tbl>
    <w:p>
      <w:pPr>
        <w:spacing w:after="20"/>
      </w:pPr>
    </w:p>
    <w:p>
      <w:pPr>
        <w:pStyle w:val="Heading2"/>
      </w:pPr>
      <w:r>
        <w:t>6.6 平台服务器、数据库与运维工具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根据项目规模可采用单体部署、虚拟化部署或高可用部署。应配置操作系统补丁、数据库备份、日志审计、时间服务、容量监控、配置备份和恢复演练。平台软件需明确授权范围、对象数量、接口能力、浏览器兼容性、升级策略及运维支持周期。</w:t>
      </w:r>
    </w:p>
    <w:p>
      <w:pPr>
        <w:pStyle w:val="Heading1"/>
        <w:pageBreakBefore/>
        <w:pBdr>
          <w:bottom w:val="single" w:sz="12" w:space="4" w:color="0B5C86"/>
        </w:pBdr>
      </w:pPr>
      <w:r>
        <w:t>七、网络安全、数据安全与可靠性设计</w:t>
      </w:r>
    </w:p>
    <w:p>
      <w:pPr>
        <w:pStyle w:val="Heading2"/>
      </w:pPr>
      <w:r>
        <w:t>7.1 安全设计目标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安全设计以“分区分域、最小权限、可信接入、持续审计、可恢复”为目标。楼控网络属于建筑运营技术环境，既要保障设备连续运行，也要防止办公网、访客网和互联网对现场控制网络产生非授权访问或横向移动风险。安全措施应与项目网络架构、等保/关保要求、业主制度及第三方接入管理要求协调。</w:t>
      </w:r>
    </w:p>
    <w:p>
      <w:pPr>
        <w:pStyle w:val="Heading2"/>
      </w:pPr>
      <w:r>
        <w:t>7.2 网络分区与边界防护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70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区域</w:t>
            </w:r>
          </w:p>
        </w:tc>
        <w:tc>
          <w:tcPr>
            <w:tcW w:type="dxa" w:w="340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部署对象</w:t>
            </w:r>
          </w:p>
        </w:tc>
        <w:tc>
          <w:tcPr>
            <w:tcW w:type="dxa" w:w="493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访问原则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现场控制区</w:t>
            </w:r>
          </w:p>
        </w:tc>
        <w:tc>
          <w:tcPr>
            <w:tcW w:type="dxa" w:w="340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DDC、I/O、仪表、VFD、成套设备控制网络</w:t>
            </w:r>
          </w:p>
        </w:tc>
        <w:tc>
          <w:tcPr>
            <w:tcW w:type="dxa" w:w="493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禁止直接暴露至互联网；仅允许控制区必要协议和经授权的工程维护。</w:t>
            </w:r>
          </w:p>
        </w:tc>
      </w:tr>
      <w:tr>
        <w:trPr>
          <w:cantSplit/>
        </w:trPr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边缘接入区</w:t>
            </w:r>
          </w:p>
        </w:tc>
        <w:tc>
          <w:tcPr>
            <w:tcW w:type="dxa" w:w="340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工业网关、协议转换、跳板/运维代理（如有）</w:t>
            </w:r>
          </w:p>
        </w:tc>
        <w:tc>
          <w:tcPr>
            <w:tcW w:type="dxa" w:w="493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承接现场协议与平台通信；实施白名单、双网隔离、端口最小化和日志记录。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平台服务区</w:t>
            </w:r>
          </w:p>
        </w:tc>
        <w:tc>
          <w:tcPr>
            <w:tcW w:type="dxa" w:w="340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应用服务、数据库、报表、接口服务</w:t>
            </w:r>
          </w:p>
        </w:tc>
        <w:tc>
          <w:tcPr>
            <w:tcW w:type="dxa" w:w="493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通过防火墙/ACL 与办公和外部访问隔离；按角色开放 Web/API 服务。</w:t>
            </w:r>
          </w:p>
        </w:tc>
      </w:tr>
      <w:tr>
        <w:trPr>
          <w:cantSplit/>
        </w:trPr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运维管理区</w:t>
            </w:r>
          </w:p>
        </w:tc>
        <w:tc>
          <w:tcPr>
            <w:tcW w:type="dxa" w:w="340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管理员终端、堡垒机、备份、监控与安全日志</w:t>
            </w:r>
          </w:p>
        </w:tc>
        <w:tc>
          <w:tcPr>
            <w:tcW w:type="dxa" w:w="493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采用实名账号、强认证、审批和审计；远程运维使用受控通道。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办公/访客/互联网</w:t>
            </w:r>
          </w:p>
        </w:tc>
        <w:tc>
          <w:tcPr>
            <w:tcW w:type="dxa" w:w="340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普通办公终端、移动设备、外部服务</w:t>
            </w:r>
          </w:p>
        </w:tc>
        <w:tc>
          <w:tcPr>
            <w:tcW w:type="dxa" w:w="493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不与现场控制区直连；外部访问需经 VPN/零信任/反向代理等经批准方式。</w:t>
            </w:r>
          </w:p>
        </w:tc>
      </w:tr>
    </w:tbl>
    <w:p>
      <w:pPr>
        <w:spacing w:after="20"/>
      </w:pPr>
    </w:p>
    <w:p>
      <w:pPr>
        <w:pStyle w:val="Heading2"/>
      </w:pPr>
      <w:r>
        <w:t>7.3 身份、权限与审计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实行账号实名制与角色分级，区分浏览、告警确认、工单、策略编辑、远程控制、系统管理和审计等权限。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高风险操作（设备启停、模式切换、批量控制、策略发布、阈值修改）宜采用双确认、审批或临时授权，并记录命令内容和执行反馈。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第三方运维使用限时、限范围、可审计的访问方式；任务结束后回收账号和通道权限。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安全日志、操作日志、配置变更、接口调用和告警处理记录应按业主制度及合规要求留存。</w:t>
      </w:r>
    </w:p>
    <w:p>
      <w:pPr>
        <w:pStyle w:val="Heading2"/>
      </w:pPr>
      <w:r>
        <w:t>7.4 数据安全与隐私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按数据的重要性和敏感性分类管理设备运行数据、空间信息、人员/车辆接口事件及视频关联信息。对外接口遵循最小字段、最小范围、最小期限原则；传输使用经批准的加密通道与证书机制；备份数据设置访问控制、加密（如适用）和恢复校验。涉及个人信息、视频或门禁数据时，应遵循适用法律法规和业主数据管理制度。</w:t>
      </w:r>
    </w:p>
    <w:p>
      <w:pPr>
        <w:pStyle w:val="Heading2"/>
      </w:pPr>
      <w:r>
        <w:t>7.5 可靠性与连续性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41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对象</w:t>
            </w:r>
          </w:p>
        </w:tc>
        <w:tc>
          <w:tcPr>
            <w:tcW w:type="dxa" w:w="425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可靠性措施</w:t>
            </w:r>
          </w:p>
        </w:tc>
        <w:tc>
          <w:tcPr>
            <w:tcW w:type="dxa" w:w="436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验收关注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现场控制</w:t>
            </w:r>
          </w:p>
        </w:tc>
        <w:tc>
          <w:tcPr>
            <w:tcW w:type="dxa" w:w="425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本地时程/联锁、掉电恢复、断网自治、手自动一致性</w:t>
            </w:r>
          </w:p>
        </w:tc>
        <w:tc>
          <w:tcPr>
            <w:tcW w:type="dxa" w:w="436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断网、重启、手动切换和故障回退测试不影响安全保护。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边缘接入</w:t>
            </w:r>
          </w:p>
        </w:tc>
        <w:tc>
          <w:tcPr>
            <w:tcW w:type="dxa" w:w="425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离线缓存、通信重连、心跳、配置备份、可选双网/备用</w:t>
            </w:r>
          </w:p>
        </w:tc>
        <w:tc>
          <w:tcPr>
            <w:tcW w:type="dxa" w:w="436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断链数据标识、补传机制、重复数据处理和恢复时间。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平台与数据库</w:t>
            </w:r>
          </w:p>
        </w:tc>
        <w:tc>
          <w:tcPr>
            <w:tcW w:type="dxa" w:w="425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备份、监控、容量告警、可选主备/高可用、灾备策略</w:t>
            </w:r>
          </w:p>
        </w:tc>
        <w:tc>
          <w:tcPr>
            <w:tcW w:type="dxa" w:w="436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备份可恢复、恢复时长、数据完整性、升级回退和日志连续性。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网络与供电</w:t>
            </w:r>
          </w:p>
        </w:tc>
        <w:tc>
          <w:tcPr>
            <w:tcW w:type="dxa" w:w="425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VLAN/ACL、链路冗余（按需）、UPS、浪涌与接地</w:t>
            </w:r>
          </w:p>
        </w:tc>
        <w:tc>
          <w:tcPr>
            <w:tcW w:type="dxa" w:w="436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网络连通性、地址规划、端口白名单、设备上电与异常重启。</w:t>
            </w:r>
          </w:p>
        </w:tc>
      </w:tr>
    </w:tbl>
    <w:p>
      <w:pPr>
        <w:spacing w:after="20"/>
      </w:pPr>
    </w:p>
    <w:p>
      <w:pPr>
        <w:pStyle w:val="Heading2"/>
      </w:pPr>
      <w:r>
        <w:t>7.6 等保、工控安全与密码应用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如项目纳入网络安全等级保护、关键信息基础设施、密码应用或业主专项安全要求，应在方案深化时开展定级/测评范围确认、安全差距分析及整改计划。楼控系统可参考工业控制系统安全的分区分域、资产识别、补丁管理、白名单、远程运维和事件响应理念，但具体合规责任与技术要求应由项目安全管理体系确认。</w:t>
      </w:r>
    </w:p>
    <w:p>
      <w:pPr>
        <w:pStyle w:val="Heading1"/>
        <w:pageBreakBefore/>
        <w:pBdr>
          <w:bottom w:val="single" w:sz="12" w:space="4" w:color="0B5C86"/>
        </w:pBdr>
      </w:pPr>
      <w:r>
        <w:t>八、行业场景适配</w:t>
      </w:r>
    </w:p>
    <w:p>
      <w:pPr>
        <w:pStyle w:val="Heading2"/>
      </w:pPr>
      <w:r>
        <w:t>8.1 办公园区与总部大楼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以多楼栋集中运维为主线，重点接入冷热源、空调通风、照明、给排水、配电/能耗和机房环境；结合工作日历、会议室/办公区占用、租户分区和物业工单，形成按楼栋、楼层、系统和责任班组的运营视图。</w:t>
      </w:r>
    </w:p>
    <w:p>
      <w:pPr>
        <w:pStyle w:val="Heading2"/>
      </w:pPr>
      <w:r>
        <w:t>8.2 商业综合体与酒店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以营业时段、客流波动、公共区域舒适度与冷热源效率为重点，支持分业态时程、区域环境监测、照明场景、停车/客流接口、能耗分项和设备故障快速定位。策略需充分考虑营业保障、租户边界、装修施工和节假日例外日。</w:t>
      </w:r>
    </w:p>
    <w:p>
      <w:pPr>
        <w:pStyle w:val="Heading2"/>
      </w:pPr>
      <w:r>
        <w:t>8.3 医疗、学校与公共服务建筑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强调关键区域运行连续性、分区权限、环境与设备告警、维保留痕和审计。对医疗专业区域、实验室、数据机房等特殊空间，楼控策略与监控点须由专业设计、工艺要求和设备厂家资料共同确认；不以通用舒适性控制逻辑替代专业环境控制。</w:t>
      </w:r>
    </w:p>
    <w:p>
      <w:pPr>
        <w:pStyle w:val="Heading2"/>
      </w:pPr>
      <w:r>
        <w:t>8.4 既有建筑改造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建议采用“摸底—接入—治理—优化”的步骤：先核验现有系统、控制器、协议、点位和网络条件；优先接入可读数据建立台账和可视化；再逐步治理数据质量、告警和工单；最后对具备安全条件的系统实施时程、群控或优化策略。对于停产/停业窗口有限的项目，应按系统制定割接与回退预案。</w:t>
      </w:r>
    </w:p>
    <w:p>
      <w:pPr>
        <w:pStyle w:val="Heading2"/>
      </w:pPr>
      <w:r>
        <w:t>8.5 绿色低碳与能碳管理协同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楼控数据为能耗与碳管理提供运行侧证据：不仅统计“用了多少”，还解释“何时、何设备、何工况导致使用”。通过设备运行状态、环境参数、冷热量/电量、工单记录和改造措施，可支撑能效诊断、节能项目效果验证、分项计量管理及运营绩效评估。</w:t>
      </w:r>
    </w:p>
    <w:p>
      <w:pPr>
        <w:pStyle w:val="Heading1"/>
        <w:pageBreakBefore/>
        <w:pBdr>
          <w:bottom w:val="single" w:sz="12" w:space="4" w:color="0B5C86"/>
        </w:pBdr>
      </w:pPr>
      <w:r>
        <w:t>九、实施、验收与持续运维</w:t>
      </w:r>
    </w:p>
    <w:p>
      <w:pPr>
        <w:pStyle w:val="Heading2"/>
      </w:pPr>
      <w:r>
        <w:t>9.1 实施流程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41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阶段</w:t>
            </w:r>
          </w:p>
        </w:tc>
        <w:tc>
          <w:tcPr>
            <w:tcW w:type="dxa" w:w="470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关键活动</w:t>
            </w:r>
          </w:p>
        </w:tc>
        <w:tc>
          <w:tcPr>
            <w:tcW w:type="dxa" w:w="391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主要输出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需求与勘察</w:t>
            </w:r>
          </w:p>
        </w:tc>
        <w:tc>
          <w:tcPr>
            <w:tcW w:type="dxa" w:w="470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确认边界、设备/空间台账、接口、网络、电柜、施工条件和风险</w:t>
            </w:r>
          </w:p>
        </w:tc>
        <w:tc>
          <w:tcPr>
            <w:tcW w:type="dxa" w:w="391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勘察报告、范围确认表、问题清单、初版点表与网络规划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深化设计</w:t>
            </w:r>
          </w:p>
        </w:tc>
        <w:tc>
          <w:tcPr>
            <w:tcW w:type="dxa" w:w="470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完成系统图、点表、控制矩阵、接口、告警、图纸、材料与施工方案</w:t>
            </w:r>
          </w:p>
        </w:tc>
        <w:tc>
          <w:tcPr>
            <w:tcW w:type="dxa" w:w="391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深化设计图、控制逻辑、I/O 表、设备清单、测试计划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设备安装与接线</w:t>
            </w:r>
          </w:p>
        </w:tc>
        <w:tc>
          <w:tcPr>
            <w:tcW w:type="dxa" w:w="470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控制柜、传感器、执行器、网关、线缆、标识、接地与供电施工</w:t>
            </w:r>
          </w:p>
        </w:tc>
        <w:tc>
          <w:tcPr>
            <w:tcW w:type="dxa" w:w="391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隐蔽验收、接线检查、设备安装记录、竣工更新资料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软件配置与联调</w:t>
            </w:r>
          </w:p>
        </w:tc>
        <w:tc>
          <w:tcPr>
            <w:tcW w:type="dxa" w:w="470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设备建模、协议接入、图形组态、策略、告警、权限、接口联调</w:t>
            </w:r>
          </w:p>
        </w:tc>
        <w:tc>
          <w:tcPr>
            <w:tcW w:type="dxa" w:w="391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配置清单、联调记录、问题闭环、控制逻辑测试记录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试运行与验收</w:t>
            </w:r>
          </w:p>
        </w:tc>
        <w:tc>
          <w:tcPr>
            <w:tcW w:type="dxa" w:w="470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连续运行、场景测试、培训、资料移交、整改和验收确认</w:t>
            </w:r>
          </w:p>
        </w:tc>
        <w:tc>
          <w:tcPr>
            <w:tcW w:type="dxa" w:w="391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试运行报告、验收报告、竣工资料、培训记录、备份包</w:t>
            </w:r>
          </w:p>
        </w:tc>
      </w:tr>
    </w:tbl>
    <w:p>
      <w:pPr>
        <w:spacing w:after="20"/>
      </w:pPr>
    </w:p>
    <w:p>
      <w:pPr>
        <w:pStyle w:val="Heading2"/>
      </w:pPr>
      <w:r>
        <w:t>9.2 验收测试建议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36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类别</w:t>
            </w:r>
          </w:p>
        </w:tc>
        <w:tc>
          <w:tcPr>
            <w:tcW w:type="dxa" w:w="447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测试示例</w:t>
            </w:r>
          </w:p>
        </w:tc>
        <w:tc>
          <w:tcPr>
            <w:tcW w:type="dxa" w:w="419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判定依据</w:t>
            </w:r>
          </w:p>
        </w:tc>
      </w:tr>
      <w:tr>
        <w:trPr>
          <w:cantSplit/>
        </w:trPr>
        <w:tc>
          <w:tcPr>
            <w:tcW w:type="dxa" w:w="136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点位正确性</w:t>
            </w:r>
          </w:p>
        </w:tc>
        <w:tc>
          <w:tcPr>
            <w:tcW w:type="dxa" w:w="447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现场模拟/对照 AI、DI、通讯点，检查单位、量程、正反作用和时间戳</w:t>
            </w:r>
          </w:p>
        </w:tc>
        <w:tc>
          <w:tcPr>
            <w:tcW w:type="dxa" w:w="419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点表、设备手册、现场仪表/控制柜状态和允许偏差</w:t>
            </w:r>
          </w:p>
        </w:tc>
      </w:tr>
      <w:tr>
        <w:trPr>
          <w:cantSplit/>
        </w:trPr>
        <w:tc>
          <w:tcPr>
            <w:tcW w:type="dxa" w:w="136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控制逻辑</w:t>
            </w:r>
          </w:p>
        </w:tc>
        <w:tc>
          <w:tcPr>
            <w:tcW w:type="dxa" w:w="447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时程、联锁、故障切换、手自动、超限保护和命令反馈</w:t>
            </w:r>
          </w:p>
        </w:tc>
        <w:tc>
          <w:tcPr>
            <w:tcW w:type="dxa" w:w="419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经批准控制矩阵、设备厂家要求、专项设计与安全边界</w:t>
            </w:r>
          </w:p>
        </w:tc>
      </w:tr>
      <w:tr>
        <w:trPr>
          <w:cantSplit/>
        </w:trPr>
        <w:tc>
          <w:tcPr>
            <w:tcW w:type="dxa" w:w="136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协议与集成</w:t>
            </w:r>
          </w:p>
        </w:tc>
        <w:tc>
          <w:tcPr>
            <w:tcW w:type="dxa" w:w="447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断链重连、数据更新、读写权限、异常码、第三方事件/接口</w:t>
            </w:r>
          </w:p>
        </w:tc>
        <w:tc>
          <w:tcPr>
            <w:tcW w:type="dxa" w:w="419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协议对象表、接口规范、网络开通清单和联调用例</w:t>
            </w:r>
          </w:p>
        </w:tc>
      </w:tr>
      <w:tr>
        <w:trPr>
          <w:cantSplit/>
        </w:trPr>
        <w:tc>
          <w:tcPr>
            <w:tcW w:type="dxa" w:w="136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告警与运维</w:t>
            </w:r>
          </w:p>
        </w:tc>
        <w:tc>
          <w:tcPr>
            <w:tcW w:type="dxa" w:w="447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阈值、延时、合并、通知、升级、工单、恢复和审计</w:t>
            </w:r>
          </w:p>
        </w:tc>
        <w:tc>
          <w:tcPr>
            <w:tcW w:type="dxa" w:w="419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告警策略表、值班制度、SLA 和预案</w:t>
            </w:r>
          </w:p>
        </w:tc>
      </w:tr>
      <w:tr>
        <w:trPr>
          <w:cantSplit/>
        </w:trPr>
        <w:tc>
          <w:tcPr>
            <w:tcW w:type="dxa" w:w="136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安全与恢复</w:t>
            </w:r>
          </w:p>
        </w:tc>
        <w:tc>
          <w:tcPr>
            <w:tcW w:type="dxa" w:w="447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账号权限、日志、备份恢复、时间同步、断网自治、配置回退</w:t>
            </w:r>
          </w:p>
        </w:tc>
        <w:tc>
          <w:tcPr>
            <w:tcW w:type="dxa" w:w="419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安全方案、备份策略、恢复演练记录与项目要求</w:t>
            </w:r>
          </w:p>
        </w:tc>
      </w:tr>
    </w:tbl>
    <w:p>
      <w:pPr>
        <w:spacing w:after="20"/>
      </w:pPr>
    </w:p>
    <w:p>
      <w:pPr>
        <w:pStyle w:val="Heading2"/>
      </w:pPr>
      <w:r>
        <w:t>9.3 培训与持续运维建议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按管理员、值班员、专业工程师和 IT/安全人员分别培训：系统操作、告警处置、工单、策略、备份、网络接口和安全责任。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建立月度运行复盘：告警 Top、重复故障、离线设备、舒适度投诉、能耗异常、工单时效、策略变更和备份状态。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建立配置变更流程：所有点表、图形、策略、阈值、账号、接口和软件升级变更均应记录版本、审批、验证和回退方案。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制定传感器校准、执行器巡检、网关/控制器备份、网络设备维护和关键设备备件策略。</w:t>
      </w:r>
    </w:p>
    <w:p>
      <w:pPr>
        <w:pStyle w:val="Heading1"/>
        <w:pageBreakBefore/>
        <w:pBdr>
          <w:bottom w:val="single" w:sz="12" w:space="4" w:color="0B5C86"/>
        </w:pBdr>
      </w:pPr>
      <w:r>
        <w:t>十、产品体系与交付核验要求</w:t>
      </w:r>
    </w:p>
    <w:p>
      <w:pPr>
        <w:pStyle w:val="Heading2"/>
      </w:pPr>
      <w:r>
        <w:t>10.1 通微产品与服务体系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70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层级</w:t>
            </w:r>
          </w:p>
        </w:tc>
        <w:tc>
          <w:tcPr>
            <w:tcW w:type="dxa" w:w="311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产品/服务类别</w:t>
            </w:r>
          </w:p>
        </w:tc>
        <w:tc>
          <w:tcPr>
            <w:tcW w:type="dxa" w:w="521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在楼控项目中的作用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现场层</w:t>
            </w:r>
          </w:p>
        </w:tc>
        <w:tc>
          <w:tcPr>
            <w:tcW w:type="dxa" w:w="31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传感器、仪表、执行器、I/O、通讯转换</w:t>
            </w:r>
          </w:p>
        </w:tc>
        <w:tc>
          <w:tcPr>
            <w:tcW w:type="dxa" w:w="521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将机电状态、环境和能耗可靠接入控制与数据体系。</w:t>
            </w:r>
          </w:p>
        </w:tc>
      </w:tr>
      <w:tr>
        <w:trPr>
          <w:cantSplit/>
        </w:trPr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控制边缘层</w:t>
            </w:r>
          </w:p>
        </w:tc>
        <w:tc>
          <w:tcPr>
            <w:tcW w:type="dxa" w:w="31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DDC、工业网关、边缘计算、控制柜与本地 HMI</w:t>
            </w:r>
          </w:p>
        </w:tc>
        <w:tc>
          <w:tcPr>
            <w:tcW w:type="dxa" w:w="521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实现本地控制自治、协议汇聚、边缘缓存、控制执行与设备接入。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平台层</w:t>
            </w:r>
          </w:p>
        </w:tc>
        <w:tc>
          <w:tcPr>
            <w:tcW w:type="dxa" w:w="31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设备物联平台、BMS 应用、告警工单、能效分析、数据服务</w:t>
            </w:r>
          </w:p>
        </w:tc>
        <w:tc>
          <w:tcPr>
            <w:tcW w:type="dxa" w:w="521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提供统一建模、可视化、运维闭环、报表与跨系统协同。</w:t>
            </w:r>
          </w:p>
        </w:tc>
      </w:tr>
      <w:tr>
        <w:trPr>
          <w:cantSplit/>
        </w:trPr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工程与服务层</w:t>
            </w:r>
          </w:p>
        </w:tc>
        <w:tc>
          <w:tcPr>
            <w:tcW w:type="dxa" w:w="31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勘察、深化设计、实施、联调、培训、运维与优化</w:t>
            </w:r>
          </w:p>
        </w:tc>
        <w:tc>
          <w:tcPr>
            <w:tcW w:type="dxa" w:w="521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将设备、控制、平台和管理流程整合为可验收、可持续运营的交付。</w:t>
            </w:r>
          </w:p>
        </w:tc>
      </w:tr>
    </w:tbl>
    <w:p>
      <w:pPr>
        <w:spacing w:after="20"/>
      </w:pPr>
    </w:p>
    <w:p>
      <w:pPr>
        <w:pStyle w:val="Heading2"/>
      </w:pPr>
      <w:r>
        <w:t>10.2 产品与能力核验机制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为保证方案承诺可验证，项目采购与实施阶段宜按照“型号—接口—点数—能力—证据”逐项核验：硬件以正式说明书、检测/认证、接口清单和实物标签为依据；软件以版本说明、功能清单、授权文件和现场演示为依据；第三方接口以厂家授权、对象表、联调记录和验收用例为依据。对于仅提供“可对接”描述而未提供协议与对象清单的系统，应在合同或深化阶段明确风险与责任。</w:t>
      </w:r>
    </w:p>
    <w:p>
      <w:pPr>
        <w:pStyle w:val="Heading1"/>
        <w:pageBreakBefore/>
        <w:pBdr>
          <w:bottom w:val="single" w:sz="12" w:space="4" w:color="0B5C86"/>
        </w:pBdr>
      </w:pPr>
      <w:r>
        <w:t>十一、公司简介</w:t>
      </w:r>
    </w:p>
    <w:p>
      <w:pPr>
        <w:pStyle w:val="Heading2"/>
      </w:pPr>
      <w:r>
        <w:t>11.1 公司定位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广州通微智慧科技有限公司（下称“通微智慧”）以工业级物联网接入、设备数据治理、智慧运维平台和场景化应用为主要能力方向。面向楼宇、园区及关键设施场景，围绕设备连接、运行可视、告警闭环、能效分析和数据服务，提供从产品到工程实施的协同支持。</w:t>
      </w:r>
    </w:p>
    <w:p>
      <w:pPr>
        <w:pStyle w:val="Heading2"/>
      </w:pPr>
      <w:r>
        <w:t>11.2 产品边界与项目承诺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本方案中的通微智慧产品与能力描述用于阐明系统建设路径，具体项目的硬件型号、软件版本、接口范围、第三方授权、交付周期、服务等级、证书及性能指标，应以双方确认的报价文件、技术协议、产品说明书和项目合同为准。对消防、特种设备、电力保护、网络安全等专业边界，通微智慧将按项目分工与专业单位协同实施。</w:t>
      </w:r>
    </w:p>
    <w:p>
      <w:pPr>
        <w:pStyle w:val="Heading1"/>
        <w:pageBreakBefore/>
        <w:pBdr>
          <w:bottom w:val="single" w:sz="12" w:space="4" w:color="0B5C86"/>
        </w:pBdr>
      </w:pPr>
      <w:r>
        <w:t>十二、工程技术深化设计</w:t>
      </w:r>
    </w:p>
    <w:p>
      <w:pPr>
        <w:pStyle w:val="Heading2"/>
      </w:pPr>
      <w:r>
        <w:t>12.1 设备模型、编码与点表基线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建议采用“园区.楼栋.楼层/区域.系统.设备.点位”的统一编码方法，例如：HQ.A1.08F.AHU.AHU-08-01.SA_T。设备模型应至少包含设备编码、名称、类型、位置、所属系统、厂家/型号、通信地址、控制器/网关、重要等级、维保信息和点位清单。点位应明确数据类型、单位、量程、方向、读写权限、刷新方式、报警规则和展示名称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58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字段</w:t>
            </w:r>
          </w:p>
        </w:tc>
        <w:tc>
          <w:tcPr>
            <w:tcW w:type="dxa" w:w="289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示例</w:t>
            </w:r>
          </w:p>
        </w:tc>
        <w:tc>
          <w:tcPr>
            <w:tcW w:type="dxa" w:w="555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58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设备编码</w:t>
            </w:r>
          </w:p>
        </w:tc>
        <w:tc>
          <w:tcPr>
            <w:tcW w:type="dxa" w:w="289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HQ.A1.B1F.CHW.P-01</w:t>
            </w:r>
          </w:p>
        </w:tc>
        <w:tc>
          <w:tcPr>
            <w:tcW w:type="dxa" w:w="555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全局唯一、稳定可追溯；避免仅用中文名称作为唯一标识。</w:t>
            </w:r>
          </w:p>
        </w:tc>
      </w:tr>
      <w:tr>
        <w:trPr>
          <w:cantSplit/>
        </w:trPr>
        <w:tc>
          <w:tcPr>
            <w:tcW w:type="dxa" w:w="158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点位编码</w:t>
            </w:r>
          </w:p>
        </w:tc>
        <w:tc>
          <w:tcPr>
            <w:tcW w:type="dxa" w:w="289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HQ.A1.B1F.CHW.P-01.RUN_FB</w:t>
            </w:r>
          </w:p>
        </w:tc>
        <w:tc>
          <w:tcPr>
            <w:tcW w:type="dxa" w:w="555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按设备归属命名，体现点位语义和方向；与控制柜端子/协议对象映射。</w:t>
            </w:r>
          </w:p>
        </w:tc>
      </w:tr>
      <w:tr>
        <w:trPr>
          <w:cantSplit/>
        </w:trPr>
        <w:tc>
          <w:tcPr>
            <w:tcW w:type="dxa" w:w="158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数据质量</w:t>
            </w:r>
          </w:p>
        </w:tc>
        <w:tc>
          <w:tcPr>
            <w:tcW w:type="dxa" w:w="289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正常 / 通讯中断 / 超量程 / 校验中 / 人工置值</w:t>
            </w:r>
          </w:p>
        </w:tc>
        <w:tc>
          <w:tcPr>
            <w:tcW w:type="dxa" w:w="555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避免将失真或离线数据直接用于告警、报表和优化。</w:t>
            </w:r>
          </w:p>
        </w:tc>
      </w:tr>
      <w:tr>
        <w:trPr>
          <w:cantSplit/>
        </w:trPr>
        <w:tc>
          <w:tcPr>
            <w:tcW w:type="dxa" w:w="158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控制权限</w:t>
            </w:r>
          </w:p>
        </w:tc>
        <w:tc>
          <w:tcPr>
            <w:tcW w:type="dxa" w:w="289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只读 / 时程写 / 受控写 / 本地优先</w:t>
            </w:r>
          </w:p>
        </w:tc>
        <w:tc>
          <w:tcPr>
            <w:tcW w:type="dxa" w:w="555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按点位和场景定义；控制权限与账号权限、设备模式和联锁共同校验。</w:t>
            </w:r>
          </w:p>
        </w:tc>
      </w:tr>
    </w:tbl>
    <w:p>
      <w:pPr>
        <w:spacing w:after="20"/>
      </w:pPr>
    </w:p>
    <w:p>
      <w:pPr>
        <w:pStyle w:val="Heading2"/>
      </w:pPr>
      <w:r>
        <w:t>12.2 典型安装与调试要点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53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对象</w:t>
            </w:r>
          </w:p>
        </w:tc>
        <w:tc>
          <w:tcPr>
            <w:tcW w:type="dxa" w:w="408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安装要点</w:t>
            </w:r>
          </w:p>
        </w:tc>
        <w:tc>
          <w:tcPr>
            <w:tcW w:type="dxa" w:w="4422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调试核验</w:t>
            </w:r>
          </w:p>
        </w:tc>
      </w:tr>
      <w:tr>
        <w:trPr>
          <w:cantSplit/>
        </w:trPr>
        <w:tc>
          <w:tcPr>
            <w:tcW w:type="dxa" w:w="153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温湿度 / CO₂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避开送风直吹、日晒、热源、门口和死角；考虑代表性与维护高度</w:t>
            </w:r>
          </w:p>
        </w:tc>
        <w:tc>
          <w:tcPr>
            <w:tcW w:type="dxa" w:w="44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与便携表/参考仪表比对，核验单位、偏差、安装位置与数据更新。</w:t>
            </w:r>
          </w:p>
        </w:tc>
      </w:tr>
      <w:tr>
        <w:trPr>
          <w:cantSplit/>
        </w:trPr>
        <w:tc>
          <w:tcPr>
            <w:tcW w:type="dxa" w:w="153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压差 / 流量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按工艺方向、取压点、直管段、导压管和排气要求安装</w:t>
            </w:r>
          </w:p>
        </w:tc>
        <w:tc>
          <w:tcPr>
            <w:tcW w:type="dxa" w:w="44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核验正负方向、零点、量程、噪声/抖动和异常值处理。</w:t>
            </w:r>
          </w:p>
        </w:tc>
      </w:tr>
      <w:tr>
        <w:trPr>
          <w:cantSplit/>
        </w:trPr>
        <w:tc>
          <w:tcPr>
            <w:tcW w:type="dxa" w:w="153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阀门 / 风阀执行器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核对电压、扭矩、行程、方向、手动机构、反馈和失效位置</w:t>
            </w:r>
          </w:p>
        </w:tc>
        <w:tc>
          <w:tcPr>
            <w:tcW w:type="dxa" w:w="44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全开/全关/中间位动作，验证反馈、联锁、PID 输出方向和机械限位。</w:t>
            </w:r>
          </w:p>
        </w:tc>
      </w:tr>
      <w:tr>
        <w:trPr>
          <w:cantSplit/>
        </w:trPr>
        <w:tc>
          <w:tcPr>
            <w:tcW w:type="dxa" w:w="153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DI/DO 与控制柜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端子标识、隔离、中间继电器、接点容量、屏蔽/接地和浪涌保护</w:t>
            </w:r>
          </w:p>
        </w:tc>
        <w:tc>
          <w:tcPr>
            <w:tcW w:type="dxa" w:w="4422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现场动作与系统反馈一致；模拟故障、手自动切换和断线场景。</w:t>
            </w:r>
          </w:p>
        </w:tc>
      </w:tr>
      <w:tr>
        <w:trPr>
          <w:cantSplit/>
        </w:trPr>
        <w:tc>
          <w:tcPr>
            <w:tcW w:type="dxa" w:w="153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通讯总线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地址唯一、终端电阻、线缆规格、屏蔽、拓扑和接地符合协议/厂家要求</w:t>
            </w:r>
          </w:p>
        </w:tc>
        <w:tc>
          <w:tcPr>
            <w:tcW w:type="dxa" w:w="4422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核验在线率、丢包、刷新、掉线重连、地址冲突和异常设备影响范围。</w:t>
            </w:r>
          </w:p>
        </w:tc>
      </w:tr>
    </w:tbl>
    <w:p>
      <w:pPr>
        <w:spacing w:after="20"/>
      </w:pPr>
    </w:p>
    <w:p>
      <w:pPr>
        <w:pStyle w:val="Heading2"/>
      </w:pPr>
      <w:r>
        <w:t>12.3 通信、协议与边缘接入设计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形成《通信地址与端口清单》：IP、VLAN、子网、网关、DNS、NTP、端口、协议、设备实例号、串口参数和防火墙策略。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针对 BACnet 明确网络号、设备实例、对象列表、COV/轮询策略、广播管理、时间同步和写对象权限；针对 Modbus 明确寄存器、数据类型、字序、倍率、功能码和轮询周期。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边缘网关应具备离线缓存、断链重连、数据质量标识、配置备份和受控远程维护能力；网关与平台之间宜使用加密传输和双向身份校验。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对既有私有协议或云接口，应在项目早期完成可用性验证，避免在现场联调阶段才发现接口授权、点位限制或写权限不足。</w:t>
      </w:r>
    </w:p>
    <w:p>
      <w:pPr>
        <w:pStyle w:val="Heading2"/>
      </w:pPr>
      <w:r>
        <w:t>12.4 告警工程化与运维闭环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告警配置不能仅依赖单一阈值。应结合设备启停状态、时程、传感器可信度、延迟、恢复阈值、关联点位、季节模式和维护窗口进行设计。例如，在风机停机时抑制风管静压低告警；在通讯中断后标记相关数据无效并抑制派生越限；对反复出现的短时波动采用延时、死区或事件合并机制。每条重要告警应配置影响说明、处置建议、责任班组和升级路径。</w:t>
      </w:r>
    </w:p>
    <w:p>
      <w:pPr>
        <w:pStyle w:val="Heading2"/>
      </w:pPr>
      <w:r>
        <w:t>12.5 受控联动与远程控制矩阵</w:t>
      </w:r>
    </w:p>
    <w:p>
      <w:pPr>
        <w:spacing w:before="0" w:after="140" w:line="341" w:lineRule="auto"/>
      </w:pPr>
      <w:r>
        <w:rPr>
          <w:rFonts w:ascii="微软雅黑" w:hAnsi="微软雅黑" w:eastAsia="微软雅黑"/>
          <w:b w:val="0"/>
          <w:i w:val="0"/>
          <w:color w:val="1F2937"/>
        </w:rPr>
        <w:t>远程控制矩阵至少应列明控制对象、命令类型、允许角色、时间窗、前置条件、联锁校验、二次确认、现场反馈、失败处理、审批要求和审计字段。对冷机、锅炉、泵组、风机等关键设备，应明确本地手自动优先级和紧急情况下的人工接管方式；对任何跨专业控制动作，应由相关专业负责人共同确认。</w:t>
      </w:r>
    </w:p>
    <w:p>
      <w:pPr>
        <w:pStyle w:val="Heading1"/>
        <w:pageBreakBefore/>
        <w:pBdr>
          <w:bottom w:val="single" w:sz="12" w:space="4" w:color="0B5C86"/>
        </w:pBdr>
      </w:pPr>
      <w:r>
        <w:t>附录 A 标准、法规与互联网资料适用清单</w:t>
      </w:r>
    </w:p>
    <w:p>
      <w:pPr>
        <w:pStyle w:val="Heading2"/>
      </w:pPr>
      <w:r>
        <w:t>A.1 建筑自控与工程实施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2976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标准/资料</w:t>
            </w:r>
          </w:p>
        </w:tc>
        <w:tc>
          <w:tcPr>
            <w:tcW w:type="dxa" w:w="2976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用途</w:t>
            </w:r>
          </w:p>
        </w:tc>
        <w:tc>
          <w:tcPr>
            <w:tcW w:type="dxa" w:w="408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使用说明</w:t>
            </w:r>
          </w:p>
        </w:tc>
      </w:tr>
      <w:tr>
        <w:trPr>
          <w:cantSplit/>
        </w:trPr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GB 55024-2022《建筑电气与智能化通用规范》</w:t>
            </w:r>
          </w:p>
        </w:tc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建筑电气与智能化工程的强制性通用要求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项目应结合规范适用范围、强制性条文及现行状态执行。</w:t>
            </w:r>
          </w:p>
        </w:tc>
      </w:tr>
      <w:tr>
        <w:trPr>
          <w:cantSplit/>
        </w:trPr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GB 50314-2015《智能建筑设计标准》</w:t>
            </w:r>
          </w:p>
        </w:tc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智能建筑系统设计、集成与功能规划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用于设计阶段系统边界、功能与接口协调参考。</w:t>
            </w:r>
          </w:p>
        </w:tc>
      </w:tr>
      <w:tr>
        <w:trPr>
          <w:cantSplit/>
        </w:trPr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GB 50339-2013《智能建筑工程质量验收规范》</w:t>
            </w:r>
          </w:p>
        </w:tc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智能建筑工程质量验收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结合项目合同、深化设计和现行适用要求编制验收计划。</w:t>
            </w:r>
          </w:p>
        </w:tc>
      </w:tr>
      <w:tr>
        <w:trPr>
          <w:cantSplit/>
        </w:trPr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GB/T 22239-2019、GB/T 22240-2020</w:t>
            </w:r>
          </w:p>
        </w:tc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网络安全等级保护相关要求与定级指南</w:t>
            </w:r>
          </w:p>
        </w:tc>
        <w:tc>
          <w:tcPr>
            <w:tcW w:type="dxa" w:w="40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如项目纳入等保范围，应由业主安全体系确认定级、整改和测评要求。</w:t>
            </w:r>
          </w:p>
        </w:tc>
      </w:tr>
      <w:tr>
        <w:trPr>
          <w:cantSplit/>
        </w:trPr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IEC 62443 系列</w:t>
            </w:r>
          </w:p>
        </w:tc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工业自动化与控制系统安全理念</w:t>
            </w:r>
          </w:p>
        </w:tc>
        <w:tc>
          <w:tcPr>
            <w:tcW w:type="dxa" w:w="40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可参考分区分域、资产识别、远程运维、生命周期安全等方法。</w:t>
            </w:r>
          </w:p>
        </w:tc>
      </w:tr>
    </w:tbl>
    <w:p>
      <w:pPr>
        <w:spacing w:after="20"/>
      </w:pPr>
    </w:p>
    <w:p>
      <w:pPr>
        <w:pStyle w:val="Heading2"/>
      </w:pPr>
      <w:r>
        <w:t>A.2 开放协议与互联网资料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75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来源</w:t>
            </w:r>
          </w:p>
        </w:tc>
        <w:tc>
          <w:tcPr>
            <w:tcW w:type="dxa" w:w="345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资料主题</w:t>
            </w:r>
          </w:p>
        </w:tc>
        <w:tc>
          <w:tcPr>
            <w:tcW w:type="dxa" w:w="481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项目使用方式</w:t>
            </w:r>
          </w:p>
        </w:tc>
      </w:tr>
      <w:tr>
        <w:trPr>
          <w:cantSplit/>
        </w:trPr>
        <w:tc>
          <w:tcPr>
            <w:tcW w:type="dxa" w:w="175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ASHRAE / BACnet</w:t>
            </w:r>
          </w:p>
        </w:tc>
        <w:tc>
          <w:tcPr>
            <w:tcW w:type="dxa" w:w="345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ASHRAE Standard 135（BACnet）与 BACnet 生态资料</w:t>
            </w:r>
          </w:p>
        </w:tc>
        <w:tc>
          <w:tcPr>
            <w:tcW w:type="dxa" w:w="48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用于 BACnet 对象、互操作与网络设计参考；以项目选用版本和厂家实现为准。</w:t>
            </w:r>
          </w:p>
        </w:tc>
      </w:tr>
      <w:tr>
        <w:trPr>
          <w:cantSplit/>
        </w:trPr>
        <w:tc>
          <w:tcPr>
            <w:tcW w:type="dxa" w:w="175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BACnet International</w:t>
            </w:r>
          </w:p>
        </w:tc>
        <w:tc>
          <w:tcPr>
            <w:tcW w:type="dxa" w:w="345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BACnet 协议、产品互操作与教育资料</w:t>
            </w:r>
          </w:p>
        </w:tc>
        <w:tc>
          <w:tcPr>
            <w:tcW w:type="dxa" w:w="48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用于协议能力、BACS 互操作和产品资料核验参考。</w:t>
            </w:r>
          </w:p>
        </w:tc>
      </w:tr>
      <w:tr>
        <w:trPr>
          <w:cantSplit/>
        </w:trPr>
        <w:tc>
          <w:tcPr>
            <w:tcW w:type="dxa" w:w="175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KNX Association</w:t>
            </w:r>
          </w:p>
        </w:tc>
        <w:tc>
          <w:tcPr>
            <w:tcW w:type="dxa" w:w="345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KNX 建筑自动化标准与技术资料</w:t>
            </w:r>
          </w:p>
        </w:tc>
        <w:tc>
          <w:tcPr>
            <w:tcW w:type="dxa" w:w="48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用于房控、照明、遮阳等 KNX 接入场景参考。</w:t>
            </w:r>
          </w:p>
        </w:tc>
      </w:tr>
      <w:tr>
        <w:trPr>
          <w:cantSplit/>
        </w:trPr>
        <w:tc>
          <w:tcPr>
            <w:tcW w:type="dxa" w:w="175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OPC Foundation</w:t>
            </w:r>
          </w:p>
        </w:tc>
        <w:tc>
          <w:tcPr>
            <w:tcW w:type="dxa" w:w="345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OPC UA 互操作与信息模型资料</w:t>
            </w:r>
          </w:p>
        </w:tc>
        <w:tc>
          <w:tcPr>
            <w:tcW w:type="dxa" w:w="48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用于与工业/成套设备/数据平台的安全互联参考。</w:t>
            </w:r>
          </w:p>
        </w:tc>
      </w:tr>
      <w:tr>
        <w:trPr>
          <w:cantSplit/>
        </w:trPr>
        <w:tc>
          <w:tcPr>
            <w:tcW w:type="dxa" w:w="175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OASIS</w:t>
            </w:r>
          </w:p>
        </w:tc>
        <w:tc>
          <w:tcPr>
            <w:tcW w:type="dxa" w:w="345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MQTT Version 5.0 标准文本</w:t>
            </w:r>
          </w:p>
        </w:tc>
        <w:tc>
          <w:tcPr>
            <w:tcW w:type="dxa" w:w="481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用于物联网消息订阅、主题规划和平台北向/边缘通信参考。</w:t>
            </w:r>
          </w:p>
        </w:tc>
      </w:tr>
      <w:tr>
        <w:trPr>
          <w:cantSplit/>
        </w:trPr>
        <w:tc>
          <w:tcPr>
            <w:tcW w:type="dxa" w:w="175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国家标准全文公开系统</w:t>
            </w:r>
          </w:p>
        </w:tc>
        <w:tc>
          <w:tcPr>
            <w:tcW w:type="dxa" w:w="345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中国国家标准状态与文本查询</w:t>
            </w:r>
          </w:p>
        </w:tc>
        <w:tc>
          <w:tcPr>
            <w:tcW w:type="dxa" w:w="481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投标、实施和验收前复核标准现行状态、适用范围和最新版本。</w:t>
            </w:r>
          </w:p>
        </w:tc>
      </w:tr>
    </w:tbl>
    <w:p>
      <w:pPr>
        <w:spacing w:after="20"/>
      </w:pPr>
    </w:p>
    <w:p>
      <w:pPr>
        <w:pStyle w:val="Heading2"/>
      </w:pPr>
      <w:r>
        <w:t>A.3 互联网资料链接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ASHRAE BACnet：https://www.ashrae.org/technical-resources/bookstore/bacnet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BACnet International：https://www.bacnetinternational.org/bacnet/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KNX Association：https://www.knx.org/knx-en/for-professionals/what-is-knx/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OPC Foundation OPC UA：https://opcfoundation.org/about/opc-technologies/opc-ua/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OASIS MQTT Version 5.0：https://docs.oasis-open.org/mqtt/mqtt/v5.0/mqtt-v5.0.html</w:t>
      </w:r>
    </w:p>
    <w:p>
      <w:pPr>
        <w:pStyle w:val="ListBullet"/>
        <w:spacing w:after="60" w:line="300" w:lineRule="auto"/>
      </w:pPr>
      <w:r>
        <w:rPr>
          <w:rFonts w:ascii="微软雅黑" w:hAnsi="微软雅黑" w:eastAsia="微软雅黑"/>
          <w:b w:val="0"/>
          <w:i w:val="0"/>
          <w:color w:val="1F2937"/>
          <w:sz w:val="20"/>
        </w:rPr>
        <w:t>全国标准信息公共服务平台：https://std.samr.gov.cn/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9922"/>
      </w:tblGrid>
      <w:tr>
        <w:tc>
          <w:tcPr>
            <w:tcW w:type="dxa" w:w="9921"/>
            <w:shd w:fill="F7FAFC" w:val="clear"/>
            <w:tcBorders>
              <w:top w:val="single" w:sz="10" w:color="667085"/>
              <w:left w:val="single" w:sz="10" w:color="667085"/>
              <w:bottom w:val="single" w:sz="10" w:color="667085"/>
              <w:right w:val="single" w:sz="10" w:color="667085"/>
            </w:tcBorders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spacing w:after="60"/>
            </w:pPr>
            <w:r/>
            <w:r>
              <w:rPr>
                <w:rFonts w:ascii="微软雅黑" w:hAnsi="微软雅黑" w:eastAsia="微软雅黑"/>
                <w:b/>
                <w:i w:val="0"/>
                <w:color w:val="667085"/>
                <w:sz w:val="21"/>
              </w:rPr>
              <w:t>引用规则</w:t>
            </w:r>
          </w:p>
          <w:p>
            <w:pPr>
              <w:spacing w:after="0" w:line="300" w:lineRule="auto"/>
            </w:pPr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9"/>
              </w:rPr>
              <w:t>互联网资料用于协议能力、互操作和安全设计方法参考，不替代国家/行业标准、法定规范、设备产品手册或项目合同。标准名称、状态、实施日期、条款适用性和链接有效性，应在投标、设计深化及项目验收前通过官方渠道再次核验。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附录 B 项目范围与验收核验表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480"/>
        <w:gridCol w:w="2480"/>
        <w:gridCol w:w="2480"/>
        <w:gridCol w:w="2480"/>
      </w:tblGrid>
      <w:tr>
        <w:trPr>
          <w:tblHeader w:val="true"/>
        </w:trPr>
        <w:tc>
          <w:tcPr>
            <w:tcW w:type="dxa" w:w="127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核验项</w:t>
            </w:r>
          </w:p>
        </w:tc>
        <w:tc>
          <w:tcPr>
            <w:tcW w:type="dxa" w:w="374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核验内容</w:t>
            </w:r>
          </w:p>
        </w:tc>
        <w:tc>
          <w:tcPr>
            <w:tcW w:type="dxa" w:w="3883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交付证据</w:t>
            </w:r>
          </w:p>
        </w:tc>
        <w:tc>
          <w:tcPr>
            <w:tcW w:type="dxa" w:w="102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确认</w:t>
            </w:r>
          </w:p>
        </w:tc>
      </w:tr>
      <w:tr>
        <w:trPr>
          <w:cantSplit/>
        </w:trPr>
        <w:tc>
          <w:tcPr>
            <w:tcW w:type="dxa" w:w="127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系统范围</w:t>
            </w:r>
          </w:p>
        </w:tc>
        <w:tc>
          <w:tcPr>
            <w:tcW w:type="dxa" w:w="374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楼栋、楼层、系统、设备、空间及不纳入范围</w:t>
            </w:r>
          </w:p>
        </w:tc>
        <w:tc>
          <w:tcPr>
            <w:tcW w:type="dxa" w:w="388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范围确认表、设备台账、平面图</w:t>
            </w:r>
          </w:p>
        </w:tc>
        <w:tc>
          <w:tcPr>
            <w:tcW w:type="dxa" w:w="102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127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点位与接口</w:t>
            </w:r>
          </w:p>
        </w:tc>
        <w:tc>
          <w:tcPr>
            <w:tcW w:type="dxa" w:w="374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AI/AO/DI/DO、协议对象、第三方接口和权限</w:t>
            </w:r>
          </w:p>
        </w:tc>
        <w:tc>
          <w:tcPr>
            <w:tcW w:type="dxa" w:w="388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点表、寄存器/对象表、接口清单、联调记录</w:t>
            </w:r>
          </w:p>
        </w:tc>
        <w:tc>
          <w:tcPr>
            <w:tcW w:type="dxa" w:w="102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127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控制与安全</w:t>
            </w:r>
          </w:p>
        </w:tc>
        <w:tc>
          <w:tcPr>
            <w:tcW w:type="dxa" w:w="374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时程、联锁、顺控、手自动、消防/安全边界</w:t>
            </w:r>
          </w:p>
        </w:tc>
        <w:tc>
          <w:tcPr>
            <w:tcW w:type="dxa" w:w="388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控制矩阵、逻辑图、测试记录、审批单</w:t>
            </w:r>
          </w:p>
        </w:tc>
        <w:tc>
          <w:tcPr>
            <w:tcW w:type="dxa" w:w="102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127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网络与安全</w:t>
            </w:r>
          </w:p>
        </w:tc>
        <w:tc>
          <w:tcPr>
            <w:tcW w:type="dxa" w:w="374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IP/VLAN、端口、账号、日志、备份、远程维护</w:t>
            </w:r>
          </w:p>
        </w:tc>
        <w:tc>
          <w:tcPr>
            <w:tcW w:type="dxa" w:w="388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网络规划、安全配置、审计与恢复记录</w:t>
            </w:r>
          </w:p>
        </w:tc>
        <w:tc>
          <w:tcPr>
            <w:tcW w:type="dxa" w:w="102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127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平台与运维</w:t>
            </w:r>
          </w:p>
        </w:tc>
        <w:tc>
          <w:tcPr>
            <w:tcW w:type="dxa" w:w="374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图形、告警、工单、报表、权限、培训</w:t>
            </w:r>
          </w:p>
        </w:tc>
        <w:tc>
          <w:tcPr>
            <w:tcW w:type="dxa" w:w="3883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功能清单、验收用例、培训签到、运维手册</w:t>
            </w:r>
          </w:p>
        </w:tc>
        <w:tc>
          <w:tcPr>
            <w:tcW w:type="dxa" w:w="102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</w:t>
            </w:r>
          </w:p>
        </w:tc>
      </w:tr>
      <w:tr>
        <w:trPr>
          <w:cantSplit/>
        </w:trPr>
        <w:tc>
          <w:tcPr>
            <w:tcW w:type="dxa" w:w="127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竣工资料</w:t>
            </w:r>
          </w:p>
        </w:tc>
        <w:tc>
          <w:tcPr>
            <w:tcW w:type="dxa" w:w="374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图纸、配置、程序、备份、说明书、质保与服务</w:t>
            </w:r>
          </w:p>
        </w:tc>
        <w:tc>
          <w:tcPr>
            <w:tcW w:type="dxa" w:w="3883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竣工资料目录、备份介质/校验记录</w:t>
            </w:r>
          </w:p>
        </w:tc>
        <w:tc>
          <w:tcPr>
            <w:tcW w:type="dxa" w:w="102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附录 C 典型监测点与告警矩阵（模板）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984"/>
        <w:gridCol w:w="1984"/>
        <w:gridCol w:w="1984"/>
        <w:gridCol w:w="1984"/>
        <w:gridCol w:w="1984"/>
      </w:tblGrid>
      <w:tr>
        <w:trPr>
          <w:tblHeader w:val="true"/>
        </w:trPr>
        <w:tc>
          <w:tcPr>
            <w:tcW w:type="dxa" w:w="141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系统/设备</w:t>
            </w:r>
          </w:p>
        </w:tc>
        <w:tc>
          <w:tcPr>
            <w:tcW w:type="dxa" w:w="170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点位/事件</w:t>
            </w:r>
          </w:p>
        </w:tc>
        <w:tc>
          <w:tcPr>
            <w:tcW w:type="dxa" w:w="2834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触发条件示例</w:t>
            </w:r>
          </w:p>
        </w:tc>
        <w:tc>
          <w:tcPr>
            <w:tcW w:type="dxa" w:w="878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等级</w:t>
            </w:r>
          </w:p>
        </w:tc>
        <w:tc>
          <w:tcPr>
            <w:tcW w:type="dxa" w:w="3089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处置建议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冷水机组</w:t>
            </w:r>
          </w:p>
        </w:tc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运行故障</w:t>
            </w:r>
          </w:p>
        </w:tc>
        <w:tc>
          <w:tcPr>
            <w:tcW w:type="dxa" w:w="283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厂家故障接点/通讯对象有效</w:t>
            </w:r>
          </w:p>
        </w:tc>
        <w:tc>
          <w:tcPr>
            <w:tcW w:type="dxa" w:w="87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重要</w:t>
            </w:r>
          </w:p>
        </w:tc>
        <w:tc>
          <w:tcPr>
            <w:tcW w:type="dxa" w:w="3089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核验故障码、联锁状态与备用机组策略；按厂家要求处置。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空调箱</w:t>
            </w:r>
          </w:p>
        </w:tc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过滤器压差高</w:t>
            </w:r>
          </w:p>
        </w:tc>
        <w:tc>
          <w:tcPr>
            <w:tcW w:type="dxa" w:w="283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超过阈值并持续设定延时</w:t>
            </w:r>
          </w:p>
        </w:tc>
        <w:tc>
          <w:tcPr>
            <w:tcW w:type="dxa" w:w="87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一般</w:t>
            </w:r>
          </w:p>
        </w:tc>
        <w:tc>
          <w:tcPr>
            <w:tcW w:type="dxa" w:w="3089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检查滤网、压差传感器和风机运行工况，安排维保。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水泵房</w:t>
            </w:r>
          </w:p>
        </w:tc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集水坑高高液位</w:t>
            </w:r>
          </w:p>
        </w:tc>
        <w:tc>
          <w:tcPr>
            <w:tcW w:type="dxa" w:w="283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高高液位开关动作</w:t>
            </w:r>
          </w:p>
        </w:tc>
        <w:tc>
          <w:tcPr>
            <w:tcW w:type="dxa" w:w="87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重要</w:t>
            </w:r>
          </w:p>
        </w:tc>
        <w:tc>
          <w:tcPr>
            <w:tcW w:type="dxa" w:w="3089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现场确认液位、泵组/供电/堵塞状态；按排水预案处置。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机房环境</w:t>
            </w:r>
          </w:p>
        </w:tc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温度超限</w:t>
            </w:r>
          </w:p>
        </w:tc>
        <w:tc>
          <w:tcPr>
            <w:tcW w:type="dxa" w:w="283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温度高于阈值且设备处于运行时段</w:t>
            </w:r>
          </w:p>
        </w:tc>
        <w:tc>
          <w:tcPr>
            <w:tcW w:type="dxa" w:w="87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一般/重要</w:t>
            </w:r>
          </w:p>
        </w:tc>
        <w:tc>
          <w:tcPr>
            <w:tcW w:type="dxa" w:w="3089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核验空调运行、门窗、负荷和传感器；按空间重要等级升级。</w:t>
            </w:r>
          </w:p>
        </w:tc>
      </w:tr>
      <w:tr>
        <w:trPr>
          <w:cantSplit/>
        </w:trPr>
        <w:tc>
          <w:tcPr>
            <w:tcW w:type="dxa" w:w="141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通讯链路</w:t>
            </w:r>
          </w:p>
        </w:tc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网关离线</w:t>
            </w:r>
          </w:p>
        </w:tc>
        <w:tc>
          <w:tcPr>
            <w:tcW w:type="dxa" w:w="2834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心跳中断超过设定时长</w:t>
            </w:r>
          </w:p>
        </w:tc>
        <w:tc>
          <w:tcPr>
            <w:tcW w:type="dxa" w:w="878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一般</w:t>
            </w:r>
          </w:p>
        </w:tc>
        <w:tc>
          <w:tcPr>
            <w:tcW w:type="dxa" w:w="3089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检查电源、网络、地址与链路；标记关联点数据质量无效。</w:t>
            </w:r>
          </w:p>
        </w:tc>
      </w:tr>
      <w:tr>
        <w:trPr>
          <w:cantSplit/>
        </w:trPr>
        <w:tc>
          <w:tcPr>
            <w:tcW w:type="dxa" w:w="141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能耗计量</w:t>
            </w:r>
          </w:p>
        </w:tc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异常用能</w:t>
            </w:r>
          </w:p>
        </w:tc>
        <w:tc>
          <w:tcPr>
            <w:tcW w:type="dxa" w:w="2834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相对基线/同时段显著偏离并排除缺失数据</w:t>
            </w:r>
          </w:p>
        </w:tc>
        <w:tc>
          <w:tcPr>
            <w:tcW w:type="dxa" w:w="878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提示</w:t>
            </w:r>
          </w:p>
        </w:tc>
        <w:tc>
          <w:tcPr>
            <w:tcW w:type="dxa" w:w="3089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核查运行时程、设备启停、计量倍率与临时负荷。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附录 D 接口、联调和验收测试用例（模板）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984"/>
        <w:gridCol w:w="1984"/>
        <w:gridCol w:w="1984"/>
        <w:gridCol w:w="1984"/>
        <w:gridCol w:w="1984"/>
      </w:tblGrid>
      <w:tr>
        <w:trPr>
          <w:tblHeader w:val="true"/>
        </w:trPr>
        <w:tc>
          <w:tcPr>
            <w:tcW w:type="dxa" w:w="85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编号</w:t>
            </w:r>
          </w:p>
        </w:tc>
        <w:tc>
          <w:tcPr>
            <w:tcW w:type="dxa" w:w="2381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测试场景</w:t>
            </w:r>
          </w:p>
        </w:tc>
        <w:tc>
          <w:tcPr>
            <w:tcW w:type="dxa" w:w="2636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前置条件</w:t>
            </w:r>
          </w:p>
        </w:tc>
        <w:tc>
          <w:tcPr>
            <w:tcW w:type="dxa" w:w="2976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预期结果</w:t>
            </w:r>
          </w:p>
        </w:tc>
        <w:tc>
          <w:tcPr>
            <w:tcW w:type="dxa" w:w="1077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结果</w:t>
            </w:r>
          </w:p>
        </w:tc>
      </w:tr>
      <w:tr>
        <w:trPr>
          <w:cantSplit/>
        </w:trPr>
        <w:tc>
          <w:tcPr>
            <w:tcW w:type="dxa" w:w="85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D-01</w:t>
            </w:r>
          </w:p>
        </w:tc>
        <w:tc>
          <w:tcPr>
            <w:tcW w:type="dxa" w:w="23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BACnet 设备对象发现与读值</w:t>
            </w:r>
          </w:p>
        </w:tc>
        <w:tc>
          <w:tcPr>
            <w:tcW w:type="dxa" w:w="263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网络及实例号已配置，对象表已确认</w:t>
            </w:r>
          </w:p>
        </w:tc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设备在线；对象名称、单位、值与现场/控制器一致</w:t>
            </w:r>
          </w:p>
        </w:tc>
        <w:tc>
          <w:tcPr>
            <w:tcW w:type="dxa" w:w="107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□通过 □不通过</w:t>
            </w:r>
          </w:p>
        </w:tc>
      </w:tr>
      <w:tr>
        <w:trPr>
          <w:cantSplit/>
        </w:trPr>
        <w:tc>
          <w:tcPr>
            <w:tcW w:type="dxa" w:w="85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D-02</w:t>
            </w:r>
          </w:p>
        </w:tc>
        <w:tc>
          <w:tcPr>
            <w:tcW w:type="dxa" w:w="23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Modbus 表计倍率与电量核验</w:t>
            </w:r>
          </w:p>
        </w:tc>
        <w:tc>
          <w:tcPr>
            <w:tcW w:type="dxa" w:w="263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寄存器表、CT 变比与接线已确认</w:t>
            </w:r>
          </w:p>
        </w:tc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电压/电流/功率/电能与参考表允许误差内一致</w:t>
            </w:r>
          </w:p>
        </w:tc>
        <w:tc>
          <w:tcPr>
            <w:tcW w:type="dxa" w:w="107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□通过 □不通过</w:t>
            </w:r>
          </w:p>
        </w:tc>
      </w:tr>
      <w:tr>
        <w:trPr>
          <w:cantSplit/>
        </w:trPr>
        <w:tc>
          <w:tcPr>
            <w:tcW w:type="dxa" w:w="85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D-03</w:t>
            </w:r>
          </w:p>
        </w:tc>
        <w:tc>
          <w:tcPr>
            <w:tcW w:type="dxa" w:w="23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空调箱时程启停与反馈</w:t>
            </w:r>
          </w:p>
        </w:tc>
        <w:tc>
          <w:tcPr>
            <w:tcW w:type="dxa" w:w="263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控制矩阵已审批，设备处于可测试状态</w:t>
            </w:r>
          </w:p>
        </w:tc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命令受权限/联锁校验，现场动作与反馈、日志一致</w:t>
            </w:r>
          </w:p>
        </w:tc>
        <w:tc>
          <w:tcPr>
            <w:tcW w:type="dxa" w:w="107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□通过 □不通过</w:t>
            </w:r>
          </w:p>
        </w:tc>
      </w:tr>
      <w:tr>
        <w:trPr>
          <w:cantSplit/>
        </w:trPr>
        <w:tc>
          <w:tcPr>
            <w:tcW w:type="dxa" w:w="85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D-04</w:t>
            </w:r>
          </w:p>
        </w:tc>
        <w:tc>
          <w:tcPr>
            <w:tcW w:type="dxa" w:w="23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告警通知与工单闭环</w:t>
            </w:r>
          </w:p>
        </w:tc>
        <w:tc>
          <w:tcPr>
            <w:tcW w:type="dxa" w:w="263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告警规则、班组、通知通道已配置</w:t>
            </w:r>
          </w:p>
        </w:tc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告警生成、通知、派单、处置、恢复及审计闭环完整</w:t>
            </w:r>
          </w:p>
        </w:tc>
        <w:tc>
          <w:tcPr>
            <w:tcW w:type="dxa" w:w="107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□通过 □不通过</w:t>
            </w:r>
          </w:p>
        </w:tc>
      </w:tr>
      <w:tr>
        <w:trPr>
          <w:cantSplit/>
        </w:trPr>
        <w:tc>
          <w:tcPr>
            <w:tcW w:type="dxa" w:w="85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D-05</w:t>
            </w:r>
          </w:p>
        </w:tc>
        <w:tc>
          <w:tcPr>
            <w:tcW w:type="dxa" w:w="2381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网关断链与恢复</w:t>
            </w:r>
          </w:p>
        </w:tc>
        <w:tc>
          <w:tcPr>
            <w:tcW w:type="dxa" w:w="263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边缘缓存策略已配置</w:t>
            </w:r>
          </w:p>
        </w:tc>
        <w:tc>
          <w:tcPr>
            <w:tcW w:type="dxa" w:w="2976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现场控制持续运行；数据质量标识正确；恢复后按规则补传</w:t>
            </w:r>
          </w:p>
        </w:tc>
        <w:tc>
          <w:tcPr>
            <w:tcW w:type="dxa" w:w="1077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□通过 □不通过</w:t>
            </w:r>
          </w:p>
        </w:tc>
      </w:tr>
      <w:tr>
        <w:trPr>
          <w:cantSplit/>
        </w:trPr>
        <w:tc>
          <w:tcPr>
            <w:tcW w:type="dxa" w:w="85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D-06</w:t>
            </w:r>
          </w:p>
        </w:tc>
        <w:tc>
          <w:tcPr>
            <w:tcW w:type="dxa" w:w="2381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备份恢复与权限审计</w:t>
            </w:r>
          </w:p>
        </w:tc>
        <w:tc>
          <w:tcPr>
            <w:tcW w:type="dxa" w:w="263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备份文件、测试账号和恢复环境可用</w:t>
            </w:r>
          </w:p>
        </w:tc>
        <w:tc>
          <w:tcPr>
            <w:tcW w:type="dxa" w:w="2976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配置/数据按范围恢复；权限与操作日志可核验</w:t>
            </w:r>
          </w:p>
        </w:tc>
        <w:tc>
          <w:tcPr>
            <w:tcW w:type="dxa" w:w="1077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□通过 □不通过</w:t>
            </w:r>
          </w:p>
        </w:tc>
      </w:tr>
    </w:tbl>
    <w:p>
      <w:pPr>
        <w:spacing w:after="20"/>
      </w:pPr>
    </w:p>
    <w:p>
      <w:pPr>
        <w:pStyle w:val="Heading1"/>
        <w:pageBreakBefore/>
        <w:pBdr>
          <w:bottom w:val="single" w:sz="12" w:space="4" w:color="0B5C86"/>
        </w:pBdr>
      </w:pPr>
      <w:r>
        <w:t>附录 E 设备与软件选型核验要求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3307"/>
        <w:gridCol w:w="3307"/>
        <w:gridCol w:w="3307"/>
      </w:tblGrid>
      <w:tr>
        <w:trPr>
          <w:tblHeader w:val="true"/>
        </w:trPr>
        <w:tc>
          <w:tcPr>
            <w:tcW w:type="dxa" w:w="1700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类别</w:t>
            </w:r>
          </w:p>
        </w:tc>
        <w:tc>
          <w:tcPr>
            <w:tcW w:type="dxa" w:w="453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核验项目</w:t>
            </w:r>
          </w:p>
        </w:tc>
        <w:tc>
          <w:tcPr>
            <w:tcW w:type="dxa" w:w="3685"/>
            <w:shd w:fill="0B5C86" w:val="clear"/>
            <w:tcBorders>
              <w:top w:val="single" w:sz="8" w:color="0B5C86"/>
              <w:left w:val="single" w:sz="8" w:color="0B5C86"/>
              <w:bottom w:val="single" w:sz="8" w:color="0B5C86"/>
              <w:right w:val="single" w:sz="8" w:color="0B5C86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建议证据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DDC/网关</w:t>
            </w:r>
          </w:p>
        </w:tc>
        <w:tc>
          <w:tcPr>
            <w:tcW w:type="dxa" w:w="453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I/O、协议、点数、缓存、供电、环境适应性、配置/备份能力</w:t>
            </w:r>
          </w:p>
        </w:tc>
        <w:tc>
          <w:tcPr>
            <w:tcW w:type="dxa" w:w="368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产品说明书、接口手册、测试报告、配置导出、实物标签</w:t>
            </w:r>
          </w:p>
        </w:tc>
      </w:tr>
      <w:tr>
        <w:trPr>
          <w:cantSplit/>
        </w:trPr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传感器/仪表</w:t>
            </w:r>
          </w:p>
        </w:tc>
        <w:tc>
          <w:tcPr>
            <w:tcW w:type="dxa" w:w="453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量程、精度、输出制式、校准/检定、安装条件、通讯参数</w:t>
            </w:r>
          </w:p>
        </w:tc>
        <w:tc>
          <w:tcPr>
            <w:tcW w:type="dxa" w:w="368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产品资料、校验记录、安装图、现场测试记录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平台软件</w:t>
            </w:r>
          </w:p>
        </w:tc>
        <w:tc>
          <w:tcPr>
            <w:tcW w:type="dxa" w:w="453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功能、授权、对象数、并发、接口、日志、备份、版本和升级策略</w:t>
            </w:r>
          </w:p>
        </w:tc>
        <w:tc>
          <w:tcPr>
            <w:tcW w:type="dxa" w:w="368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授权文件、版本说明、功能清单、现场演示、配置和测试报告</w:t>
            </w:r>
          </w:p>
        </w:tc>
      </w:tr>
      <w:tr>
        <w:trPr>
          <w:cantSplit/>
        </w:trPr>
        <w:tc>
          <w:tcPr>
            <w:tcW w:type="dxa" w:w="1700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第三方系统</w:t>
            </w:r>
          </w:p>
        </w:tc>
        <w:tc>
          <w:tcPr>
            <w:tcW w:type="dxa" w:w="453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授权、开放接口、对象/寄存器表、读写权限、接口限额与支持责任</w:t>
            </w:r>
          </w:p>
        </w:tc>
        <w:tc>
          <w:tcPr>
            <w:tcW w:type="dxa" w:w="3685"/>
            <w:shd w:fill="F5F8FA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厂家确认函、接口文档、联调记录、责任边界表</w:t>
            </w:r>
          </w:p>
        </w:tc>
      </w:tr>
      <w:tr>
        <w:trPr>
          <w:cantSplit/>
        </w:trPr>
        <w:tc>
          <w:tcPr>
            <w:tcW w:type="dxa" w:w="1700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网络安全</w:t>
            </w:r>
          </w:p>
        </w:tc>
        <w:tc>
          <w:tcPr>
            <w:tcW w:type="dxa" w:w="453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分区、白名单、账号、证书、日志、备份、远程维护和漏洞管理</w:t>
            </w:r>
          </w:p>
        </w:tc>
        <w:tc>
          <w:tcPr>
            <w:tcW w:type="dxa" w:w="3685"/>
            <w:shd w:fill="FFFFFF" w:val="clear"/>
            <w:tcBorders>
              <w:top w:val="single" w:sz="6" w:color="B9C6D1"/>
              <w:left w:val="single" w:sz="6" w:color="B9C6D1"/>
              <w:bottom w:val="single" w:sz="6" w:color="B9C6D1"/>
              <w:right w:val="single" w:sz="6" w:color="B9C6D1"/>
            </w:tcBorders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937"/>
                <w:sz w:val="18"/>
              </w:rPr>
              <w:t>网络拓扑、策略清单、审计截图、演练记录、制度文件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10"/>
      <w:footerReference w:type="default" r:id="rId11"/>
      <w:pgSz w:w="11906" w:h="16838"/>
      <w:pgMar w:top="992" w:right="992" w:bottom="879" w:left="992" w:header="425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微软雅黑" w:hAnsi="微软雅黑" w:eastAsia="微软雅黑"/>
        <w:b w:val="0"/>
        <w:i w:val="0"/>
        <w:color w:val="667085"/>
        <w:sz w:val="16"/>
      </w:rPr>
      <w:t xml:space="preserve">广州通微智慧科技有限公司   |   工业级 AIoT 智慧运维产品与数据服务商   |   第 </w:t>
    </w:r>
    <w:r>
      <w:rPr>
        <w:rFonts w:ascii="微软雅黑" w:hAnsi="微软雅黑" w:eastAsia="微软雅黑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微软雅黑" w:hAnsi="微软雅黑" w:eastAsia="微软雅黑"/>
        <w:b w:val="0"/>
        <w:i w:val="0"/>
        <w:color w:val="667085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8" w:space="4" w:color="DDEBF3"/>
      </w:pBdr>
    </w:pPr>
    <w:r>
      <w:rPr>
        <w:rFonts w:ascii="微软雅黑" w:hAnsi="微软雅黑" w:eastAsia="微软雅黑"/>
        <w:b/>
        <w:i w:val="0"/>
        <w:color w:val="0B5C86"/>
        <w:sz w:val="17"/>
      </w:rPr>
      <w:t>通微智慧科技</w:t>
    </w:r>
    <w:r>
      <w:rPr>
        <w:rFonts w:ascii="微软雅黑" w:hAnsi="微软雅黑" w:eastAsia="微软雅黑"/>
        <w:b w:val="0"/>
        <w:i w:val="0"/>
        <w:color w:val="667085"/>
        <w:sz w:val="16"/>
      </w:rPr>
      <w:t xml:space="preserve">   |   楼宇自控系统解决方案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1" w:lineRule="auto" w:after="140"/>
      <w:ind w:firstLine="420"/>
    </w:pPr>
    <w:rPr>
      <w:rFonts w:ascii="微软雅黑" w:hAnsi="微软雅黑" w:eastAsia="微软雅黑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24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0A2E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0B5C8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087E8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微软雅黑" w:hAnsi="微软雅黑" w:eastAsia="微软雅黑"/>
      <w:color w:val="1F2937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微软雅黑" w:hAnsi="微软雅黑" w:eastAsia="微软雅黑"/>
      <w:color w:val="1F2937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通微智慧楼宇自控系统解决方案完整版 V1.0</dc:title>
  <dc:subject>面向办公园区、商业综合体及公共建筑的楼宇自控（BAS）与 AIoT 智慧运维解决方案</dc:subject>
  <dc:creator>广州通微智慧科技有限公司</dc:creator>
  <cp:keywords/>
  <dc:description>本方案为通用技术建议，项目实施以深化设计、设备资料、适用规范及合同约定为准。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